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1455" w:rsidRDefault="0026212C">
      <w:pPr>
        <w:pStyle w:val="Heading1"/>
        <w:spacing w:before="49"/>
        <w:ind w:left="116"/>
        <w:rPr>
          <w:b/>
        </w:rPr>
      </w:pPr>
      <w:r>
        <w:rPr>
          <w:noProof/>
        </w:rPr>
        <mc:AlternateContent>
          <mc:Choice Requires="wps">
            <w:drawing>
              <wp:anchor distT="0" distB="0" distL="0" distR="0" simplePos="0" relativeHeight="251658240" behindDoc="1" locked="0" layoutInCell="1" allowOverlap="1">
                <wp:simplePos x="0" y="0"/>
                <wp:positionH relativeFrom="page">
                  <wp:posOffset>366395</wp:posOffset>
                </wp:positionH>
                <wp:positionV relativeFrom="paragraph">
                  <wp:posOffset>349885</wp:posOffset>
                </wp:positionV>
                <wp:extent cx="6837045" cy="1270"/>
                <wp:effectExtent l="0" t="0" r="0" b="0"/>
                <wp:wrapTopAndBottom/>
                <wp:docPr id="12"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7045" cy="1270"/>
                        </a:xfrm>
                        <a:custGeom>
                          <a:avLst/>
                          <a:gdLst>
                            <a:gd name="T0" fmla="+- 0 11343 577"/>
                            <a:gd name="T1" fmla="*/ T0 w 10767"/>
                            <a:gd name="T2" fmla="+- 0 577 577"/>
                            <a:gd name="T3" fmla="*/ T2 w 10767"/>
                          </a:gdLst>
                          <a:ahLst/>
                          <a:cxnLst>
                            <a:cxn ang="0">
                              <a:pos x="T1" y="0"/>
                            </a:cxn>
                            <a:cxn ang="0">
                              <a:pos x="T3" y="0"/>
                            </a:cxn>
                          </a:cxnLst>
                          <a:rect l="0" t="0" r="r" b="b"/>
                          <a:pathLst>
                            <a:path w="10767">
                              <a:moveTo>
                                <a:pt x="10766" y="0"/>
                              </a:moveTo>
                              <a:lnTo>
                                <a:pt x="0" y="0"/>
                              </a:lnTo>
                            </a:path>
                          </a:pathLst>
                        </a:custGeom>
                        <a:noFill/>
                        <a:ln w="6350">
                          <a:solidFill>
                            <a:srgbClr val="57575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094D3A" id="Freeform 9" o:spid="_x0000_s1026" style="position:absolute;margin-left:28.85pt;margin-top:27.55pt;width:538.3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" path="m10766,l,e" filled="f" strokecolor="#575756" strokeweight=".5pt">
                <v:path arrowok="t" o:connecttype="custom" o:connectlocs="6836410,0;0,0" o:connectangles="0,0"/>
                <w10:wrap type="topAndBottom" anchorx="page"/>
              </v:shape>
            </w:pict>
          </mc:Fallback>
        </mc:AlternateContent>
      </w:r>
      <w:r>
        <w:rPr>
          <w:noProof/>
        </w:rPr>
        <w:drawing>
          <wp:anchor distT="0" distB="0" distL="0" distR="0" simplePos="0" relativeHeight="251660288" behindDoc="0" locked="0" layoutInCell="1" allowOverlap="1">
            <wp:simplePos x="0" y="0"/>
            <wp:positionH relativeFrom="page">
              <wp:posOffset>6529793</wp:posOffset>
            </wp:positionH>
            <wp:positionV relativeFrom="page">
              <wp:posOffset>9604474</wp:posOffset>
            </wp:positionV>
            <wp:extent cx="673200" cy="72752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673200" cy="727524"/>
                    </a:xfrm>
                    <a:prstGeom prst="rect">
                      <a:avLst/>
                    </a:prstGeom>
                  </pic:spPr>
                </pic:pic>
              </a:graphicData>
            </a:graphic>
          </wp:anchor>
        </w:drawing>
      </w:r>
      <w:r>
        <w:rPr>
          <w:b/>
        </w:rPr>
        <w:t>NSW Department of Education</w:t>
      </w:r>
    </w:p>
    <w:p w:rsidR="00F81455" w:rsidRDefault="00F81455">
      <w:pPr>
        <w:pStyle w:val="BodyText"/>
        <w:rPr>
          <w:rFonts w:ascii="Montserrat SemiBold"/>
          <w:b/>
          <w:sz w:val="20"/>
        </w:rPr>
      </w:pPr>
    </w:p>
    <w:p w:rsidR="00F81455" w:rsidRDefault="0026212C">
      <w:pPr>
        <w:pStyle w:val="BodyText"/>
        <w:spacing w:before="4"/>
        <w:rPr>
          <w:rFonts w:ascii="Montserrat SemiBold"/>
          <w:b/>
          <w:sz w:val="13"/>
        </w:rPr>
      </w:pPr>
      <w:r>
        <w:rPr>
          <w:noProof/>
        </w:rPr>
        <mc:AlternateContent>
          <mc:Choice Requires="wps">
            <w:drawing>
              <wp:anchor distT="0" distB="0" distL="0" distR="0" simplePos="0" relativeHeight="251659264" behindDoc="1" locked="0" layoutInCell="1" allowOverlap="1">
                <wp:simplePos x="0" y="0"/>
                <wp:positionH relativeFrom="page">
                  <wp:posOffset>366395</wp:posOffset>
                </wp:positionH>
                <wp:positionV relativeFrom="paragraph">
                  <wp:posOffset>131445</wp:posOffset>
                </wp:positionV>
                <wp:extent cx="6838315" cy="1116330"/>
                <wp:effectExtent l="0" t="0" r="0" b="0"/>
                <wp:wrapTopAndBottom/>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315" cy="1116330"/>
                        </a:xfrm>
                        <a:prstGeom prst="rect">
                          <a:avLst/>
                        </a:prstGeom>
                        <a:solidFill>
                          <a:srgbClr val="6390C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1455" w:rsidRPr="00E013C0" w:rsidRDefault="00E013C0">
                            <w:pPr>
                              <w:spacing w:before="144"/>
                              <w:ind w:left="232"/>
                              <w:rPr>
                                <w:rFonts w:ascii="Montserrat SemiBold"/>
                                <w:b/>
                                <w:sz w:val="48"/>
                                <w:szCs w:val="48"/>
                              </w:rPr>
                            </w:pPr>
                            <w:r w:rsidRPr="00E013C0">
                              <w:rPr>
                                <w:rFonts w:ascii="Montserrat SemiBold"/>
                                <w:b/>
                                <w:color w:val="FFFFFF"/>
                                <w:sz w:val="48"/>
                                <w:szCs w:val="48"/>
                              </w:rPr>
                              <w:t>Great Lakes College Tuncurry Campus</w:t>
                            </w:r>
                          </w:p>
                          <w:p w:rsidR="00F81455" w:rsidRDefault="0026212C">
                            <w:pPr>
                              <w:spacing w:before="54"/>
                              <w:ind w:left="245"/>
                              <w:rPr>
                                <w:rFonts w:ascii="Calibri"/>
                                <w:sz w:val="56"/>
                              </w:rPr>
                            </w:pPr>
                            <w:r>
                              <w:rPr>
                                <w:rFonts w:ascii="Calibri"/>
                                <w:color w:val="FFFFFF"/>
                                <w:sz w:val="56"/>
                              </w:rPr>
                              <w:t>Anti-bullying Plan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8.85pt;margin-top:10.35pt;width:538.45pt;height:87.9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" fillcolor="#6390cb" stroked="f">
                <v:textbox inset="0,0,0,0">
                  <w:txbxContent>
                    <w:p w:rsidR="00F81455" w:rsidRPr="00E013C0" w:rsidRDefault="00E013C0">
                      <w:pPr>
                        <w:spacing w:before="144"/>
                        <w:ind w:left="232"/>
                        <w:rPr>
                          <w:rFonts w:ascii="Montserrat SemiBold"/>
                          <w:b/>
                          <w:sz w:val="48"/>
                          <w:szCs w:val="48"/>
                        </w:rPr>
                      </w:pPr>
                      <w:r w:rsidRPr="00E013C0">
                        <w:rPr>
                          <w:rFonts w:ascii="Montserrat SemiBold"/>
                          <w:b/>
                          <w:color w:val="FFFFFF"/>
                          <w:sz w:val="48"/>
                          <w:szCs w:val="48"/>
                        </w:rPr>
                        <w:t>Great Lakes College Tuncurry Campus</w:t>
                      </w:r>
                    </w:p>
                    <w:p w:rsidR="00F81455" w:rsidRDefault="0026212C">
                      <w:pPr>
                        <w:spacing w:before="54"/>
                        <w:ind w:left="245"/>
                        <w:rPr>
                          <w:rFonts w:ascii="Calibri"/>
                          <w:sz w:val="56"/>
                        </w:rPr>
                      </w:pPr>
                      <w:r>
                        <w:rPr>
                          <w:rFonts w:ascii="Calibri"/>
                          <w:color w:val="FFFFFF"/>
                          <w:sz w:val="56"/>
                        </w:rPr>
                        <w:t>Anti-bullying Plan 2020</w:t>
                      </w:r>
                    </w:p>
                  </w:txbxContent>
                </v:textbox>
                <w10:wrap type="topAndBottom" anchorx="page"/>
              </v:shape>
            </w:pict>
          </mc:Fallback>
        </mc:AlternateContent>
      </w:r>
    </w:p>
    <w:p w:rsidR="00F81455" w:rsidRDefault="0026212C">
      <w:pPr>
        <w:spacing w:before="119" w:line="247" w:lineRule="auto"/>
        <w:ind w:left="111"/>
        <w:rPr>
          <w:rFonts w:ascii="Montserrat SemiBold"/>
          <w:b/>
          <w:sz w:val="24"/>
        </w:rPr>
      </w:pPr>
      <w:r>
        <w:rPr>
          <w:rFonts w:ascii="Montserrat SemiBold"/>
          <w:b/>
          <w:spacing w:val="-5"/>
          <w:sz w:val="24"/>
        </w:rPr>
        <w:t xml:space="preserve">Bullying behaviour </w:t>
      </w:r>
      <w:r>
        <w:rPr>
          <w:rFonts w:ascii="Montserrat SemiBold"/>
          <w:b/>
          <w:spacing w:val="-3"/>
          <w:sz w:val="24"/>
        </w:rPr>
        <w:t xml:space="preserve">has three </w:t>
      </w:r>
      <w:r>
        <w:rPr>
          <w:rFonts w:ascii="Montserrat SemiBold"/>
          <w:b/>
          <w:spacing w:val="-6"/>
          <w:sz w:val="24"/>
        </w:rPr>
        <w:t xml:space="preserve">key </w:t>
      </w:r>
      <w:r>
        <w:rPr>
          <w:rFonts w:ascii="Montserrat SemiBold"/>
          <w:b/>
          <w:spacing w:val="-4"/>
          <w:sz w:val="24"/>
        </w:rPr>
        <w:t xml:space="preserve">features. </w:t>
      </w:r>
      <w:r>
        <w:rPr>
          <w:rFonts w:ascii="Montserrat SemiBold"/>
          <w:b/>
          <w:sz w:val="24"/>
        </w:rPr>
        <w:t xml:space="preserve">It </w:t>
      </w:r>
      <w:r>
        <w:rPr>
          <w:rFonts w:ascii="Montserrat SemiBold"/>
          <w:b/>
          <w:spacing w:val="-6"/>
          <w:sz w:val="24"/>
        </w:rPr>
        <w:t xml:space="preserve">involves </w:t>
      </w:r>
      <w:r>
        <w:rPr>
          <w:rFonts w:ascii="Montserrat SemiBold"/>
          <w:b/>
          <w:spacing w:val="-3"/>
          <w:sz w:val="24"/>
        </w:rPr>
        <w:t xml:space="preserve">the </w:t>
      </w:r>
      <w:r>
        <w:rPr>
          <w:rFonts w:ascii="Montserrat SemiBold"/>
          <w:b/>
          <w:spacing w:val="-5"/>
          <w:sz w:val="24"/>
        </w:rPr>
        <w:t xml:space="preserve">intentional </w:t>
      </w:r>
      <w:r>
        <w:rPr>
          <w:rFonts w:ascii="Montserrat SemiBold"/>
          <w:b/>
          <w:spacing w:val="-4"/>
          <w:sz w:val="24"/>
        </w:rPr>
        <w:t xml:space="preserve">misuse </w:t>
      </w:r>
      <w:r>
        <w:rPr>
          <w:rFonts w:ascii="Montserrat SemiBold"/>
          <w:b/>
          <w:spacing w:val="-3"/>
          <w:sz w:val="24"/>
        </w:rPr>
        <w:t xml:space="preserve">of </w:t>
      </w:r>
      <w:r>
        <w:rPr>
          <w:rFonts w:ascii="Montserrat SemiBold"/>
          <w:b/>
          <w:spacing w:val="-5"/>
          <w:sz w:val="24"/>
        </w:rPr>
        <w:t xml:space="preserve">power </w:t>
      </w:r>
      <w:r>
        <w:rPr>
          <w:rFonts w:ascii="Montserrat SemiBold"/>
          <w:b/>
          <w:spacing w:val="-3"/>
          <w:sz w:val="24"/>
        </w:rPr>
        <w:t xml:space="preserve">in </w:t>
      </w:r>
      <w:r>
        <w:rPr>
          <w:rFonts w:ascii="Montserrat SemiBold"/>
          <w:b/>
          <w:sz w:val="24"/>
        </w:rPr>
        <w:t xml:space="preserve">a </w:t>
      </w:r>
      <w:r>
        <w:rPr>
          <w:rFonts w:ascii="Montserrat SemiBold"/>
          <w:b/>
          <w:spacing w:val="-5"/>
          <w:sz w:val="24"/>
        </w:rPr>
        <w:t xml:space="preserve">relationship. </w:t>
      </w:r>
      <w:r>
        <w:rPr>
          <w:rFonts w:ascii="Montserrat SemiBold"/>
          <w:b/>
          <w:sz w:val="24"/>
        </w:rPr>
        <w:t xml:space="preserve">It is </w:t>
      </w:r>
      <w:r>
        <w:rPr>
          <w:rFonts w:ascii="Montserrat SemiBold"/>
          <w:b/>
          <w:spacing w:val="-4"/>
          <w:sz w:val="24"/>
        </w:rPr>
        <w:t xml:space="preserve">ongoing </w:t>
      </w:r>
      <w:r>
        <w:rPr>
          <w:rFonts w:ascii="Montserrat SemiBold"/>
          <w:b/>
          <w:spacing w:val="-3"/>
          <w:sz w:val="24"/>
        </w:rPr>
        <w:t xml:space="preserve">and </w:t>
      </w:r>
      <w:r>
        <w:rPr>
          <w:rFonts w:ascii="Montserrat SemiBold"/>
          <w:b/>
          <w:spacing w:val="-4"/>
          <w:sz w:val="24"/>
        </w:rPr>
        <w:t xml:space="preserve">repeated, </w:t>
      </w:r>
      <w:r>
        <w:rPr>
          <w:rFonts w:ascii="Montserrat SemiBold"/>
          <w:b/>
          <w:spacing w:val="-3"/>
          <w:sz w:val="24"/>
        </w:rPr>
        <w:t xml:space="preserve">and it </w:t>
      </w:r>
      <w:r>
        <w:rPr>
          <w:rFonts w:ascii="Montserrat SemiBold"/>
          <w:b/>
          <w:spacing w:val="-6"/>
          <w:sz w:val="24"/>
        </w:rPr>
        <w:t xml:space="preserve">involves </w:t>
      </w:r>
      <w:r>
        <w:rPr>
          <w:rFonts w:ascii="Montserrat SemiBold"/>
          <w:b/>
          <w:spacing w:val="-4"/>
          <w:sz w:val="24"/>
        </w:rPr>
        <w:t xml:space="preserve">behaviours that </w:t>
      </w:r>
      <w:r>
        <w:rPr>
          <w:rFonts w:ascii="Montserrat SemiBold"/>
          <w:b/>
          <w:spacing w:val="-3"/>
          <w:sz w:val="24"/>
        </w:rPr>
        <w:t xml:space="preserve">can cause </w:t>
      </w:r>
      <w:r>
        <w:rPr>
          <w:rFonts w:ascii="Montserrat SemiBold"/>
          <w:b/>
          <w:spacing w:val="-4"/>
          <w:sz w:val="24"/>
        </w:rPr>
        <w:t>harm. The</w:t>
      </w:r>
      <w:r>
        <w:rPr>
          <w:rFonts w:ascii="Montserrat SemiBold"/>
          <w:b/>
          <w:spacing w:val="-26"/>
          <w:sz w:val="24"/>
        </w:rPr>
        <w:t xml:space="preserve"> </w:t>
      </w:r>
      <w:r>
        <w:rPr>
          <w:rFonts w:ascii="Montserrat SemiBold"/>
          <w:b/>
          <w:spacing w:val="-3"/>
          <w:sz w:val="24"/>
        </w:rPr>
        <w:t>NSW</w:t>
      </w:r>
      <w:r>
        <w:rPr>
          <w:rFonts w:ascii="Montserrat SemiBold"/>
          <w:b/>
          <w:spacing w:val="-25"/>
          <w:sz w:val="24"/>
        </w:rPr>
        <w:t xml:space="preserve"> </w:t>
      </w:r>
      <w:r>
        <w:rPr>
          <w:rFonts w:ascii="Montserrat SemiBold"/>
          <w:b/>
          <w:spacing w:val="-4"/>
          <w:sz w:val="24"/>
        </w:rPr>
        <w:t>Department</w:t>
      </w:r>
      <w:r>
        <w:rPr>
          <w:rFonts w:ascii="Montserrat SemiBold"/>
          <w:b/>
          <w:spacing w:val="-25"/>
          <w:sz w:val="24"/>
        </w:rPr>
        <w:t xml:space="preserve"> </w:t>
      </w:r>
      <w:r>
        <w:rPr>
          <w:rFonts w:ascii="Montserrat SemiBold"/>
          <w:b/>
          <w:spacing w:val="-3"/>
          <w:sz w:val="24"/>
        </w:rPr>
        <w:t>of</w:t>
      </w:r>
      <w:r>
        <w:rPr>
          <w:rFonts w:ascii="Montserrat SemiBold"/>
          <w:b/>
          <w:spacing w:val="-25"/>
          <w:sz w:val="24"/>
        </w:rPr>
        <w:t xml:space="preserve"> </w:t>
      </w:r>
      <w:r>
        <w:rPr>
          <w:rFonts w:ascii="Montserrat SemiBold"/>
          <w:b/>
          <w:spacing w:val="-5"/>
          <w:sz w:val="24"/>
        </w:rPr>
        <w:t>Education</w:t>
      </w:r>
      <w:r>
        <w:rPr>
          <w:rFonts w:ascii="Montserrat SemiBold"/>
          <w:b/>
          <w:spacing w:val="-25"/>
          <w:sz w:val="24"/>
        </w:rPr>
        <w:t xml:space="preserve"> </w:t>
      </w:r>
      <w:r>
        <w:rPr>
          <w:rFonts w:ascii="Montserrat SemiBold"/>
          <w:b/>
          <w:spacing w:val="-4"/>
          <w:sz w:val="24"/>
        </w:rPr>
        <w:t>requires</w:t>
      </w:r>
      <w:r>
        <w:rPr>
          <w:rFonts w:ascii="Montserrat SemiBold"/>
          <w:b/>
          <w:spacing w:val="-25"/>
          <w:sz w:val="24"/>
        </w:rPr>
        <w:t xml:space="preserve"> </w:t>
      </w:r>
      <w:r>
        <w:rPr>
          <w:rFonts w:ascii="Montserrat SemiBold"/>
          <w:b/>
          <w:spacing w:val="-5"/>
          <w:sz w:val="24"/>
        </w:rPr>
        <w:t>all</w:t>
      </w:r>
      <w:r>
        <w:rPr>
          <w:rFonts w:ascii="Montserrat SemiBold"/>
          <w:b/>
          <w:spacing w:val="-25"/>
          <w:sz w:val="24"/>
        </w:rPr>
        <w:t xml:space="preserve"> </w:t>
      </w:r>
      <w:r>
        <w:rPr>
          <w:rFonts w:ascii="Montserrat SemiBold"/>
          <w:b/>
          <w:spacing w:val="-3"/>
          <w:sz w:val="24"/>
        </w:rPr>
        <w:t>NSW</w:t>
      </w:r>
      <w:r>
        <w:rPr>
          <w:rFonts w:ascii="Montserrat SemiBold"/>
          <w:b/>
          <w:spacing w:val="-25"/>
          <w:sz w:val="24"/>
        </w:rPr>
        <w:t xml:space="preserve"> </w:t>
      </w:r>
      <w:r>
        <w:rPr>
          <w:rFonts w:ascii="Montserrat SemiBold"/>
          <w:b/>
          <w:spacing w:val="-5"/>
          <w:sz w:val="24"/>
        </w:rPr>
        <w:t>public</w:t>
      </w:r>
      <w:r>
        <w:rPr>
          <w:rFonts w:ascii="Montserrat SemiBold"/>
          <w:b/>
          <w:spacing w:val="-25"/>
          <w:sz w:val="24"/>
        </w:rPr>
        <w:t xml:space="preserve"> </w:t>
      </w:r>
      <w:r>
        <w:rPr>
          <w:rFonts w:ascii="Montserrat SemiBold"/>
          <w:b/>
          <w:spacing w:val="-4"/>
          <w:sz w:val="24"/>
        </w:rPr>
        <w:t>schools</w:t>
      </w:r>
      <w:r>
        <w:rPr>
          <w:rFonts w:ascii="Montserrat SemiBold"/>
          <w:b/>
          <w:spacing w:val="-25"/>
          <w:sz w:val="24"/>
        </w:rPr>
        <w:t xml:space="preserve"> </w:t>
      </w:r>
      <w:r>
        <w:rPr>
          <w:rFonts w:ascii="Montserrat SemiBold"/>
          <w:b/>
          <w:sz w:val="24"/>
        </w:rPr>
        <w:t>to</w:t>
      </w:r>
      <w:r>
        <w:rPr>
          <w:rFonts w:ascii="Montserrat SemiBold"/>
          <w:b/>
          <w:spacing w:val="-25"/>
          <w:sz w:val="24"/>
        </w:rPr>
        <w:t xml:space="preserve"> </w:t>
      </w:r>
      <w:r>
        <w:rPr>
          <w:rFonts w:ascii="Montserrat SemiBold"/>
          <w:b/>
          <w:spacing w:val="-5"/>
          <w:sz w:val="24"/>
        </w:rPr>
        <w:t>have</w:t>
      </w:r>
      <w:r>
        <w:rPr>
          <w:rFonts w:ascii="Montserrat SemiBold"/>
          <w:b/>
          <w:spacing w:val="-25"/>
          <w:sz w:val="24"/>
        </w:rPr>
        <w:t xml:space="preserve"> </w:t>
      </w:r>
      <w:r>
        <w:rPr>
          <w:rFonts w:ascii="Montserrat SemiBold"/>
          <w:b/>
          <w:spacing w:val="-3"/>
          <w:sz w:val="24"/>
        </w:rPr>
        <w:t>an</w:t>
      </w:r>
      <w:r>
        <w:rPr>
          <w:rFonts w:ascii="Montserrat SemiBold"/>
          <w:b/>
          <w:spacing w:val="-25"/>
          <w:sz w:val="24"/>
        </w:rPr>
        <w:t xml:space="preserve"> </w:t>
      </w:r>
      <w:r>
        <w:rPr>
          <w:rFonts w:ascii="Montserrat SemiBold"/>
          <w:b/>
          <w:spacing w:val="-5"/>
          <w:sz w:val="24"/>
        </w:rPr>
        <w:t>Anti-bullying Plan</w:t>
      </w:r>
      <w:r>
        <w:rPr>
          <w:rFonts w:ascii="Montserrat SemiBold"/>
          <w:b/>
          <w:spacing w:val="-21"/>
          <w:sz w:val="24"/>
        </w:rPr>
        <w:t xml:space="preserve"> </w:t>
      </w:r>
      <w:r>
        <w:rPr>
          <w:rFonts w:ascii="Montserrat SemiBold"/>
          <w:b/>
          <w:spacing w:val="-5"/>
          <w:sz w:val="24"/>
        </w:rPr>
        <w:t>which</w:t>
      </w:r>
      <w:r>
        <w:rPr>
          <w:rFonts w:ascii="Montserrat SemiBold"/>
          <w:b/>
          <w:spacing w:val="-21"/>
          <w:sz w:val="24"/>
        </w:rPr>
        <w:t xml:space="preserve"> </w:t>
      </w:r>
      <w:r>
        <w:rPr>
          <w:rFonts w:ascii="Montserrat SemiBold"/>
          <w:b/>
          <w:spacing w:val="-5"/>
          <w:sz w:val="24"/>
        </w:rPr>
        <w:t>details</w:t>
      </w:r>
      <w:r>
        <w:rPr>
          <w:rFonts w:ascii="Montserrat SemiBold"/>
          <w:b/>
          <w:spacing w:val="-20"/>
          <w:sz w:val="24"/>
        </w:rPr>
        <w:t xml:space="preserve"> </w:t>
      </w:r>
      <w:r>
        <w:rPr>
          <w:rFonts w:ascii="Montserrat SemiBold"/>
          <w:b/>
          <w:spacing w:val="-3"/>
          <w:sz w:val="24"/>
        </w:rPr>
        <w:t>the</w:t>
      </w:r>
      <w:r>
        <w:rPr>
          <w:rFonts w:ascii="Montserrat SemiBold"/>
          <w:b/>
          <w:spacing w:val="-21"/>
          <w:sz w:val="24"/>
        </w:rPr>
        <w:t xml:space="preserve"> </w:t>
      </w:r>
      <w:r>
        <w:rPr>
          <w:rFonts w:ascii="Montserrat SemiBold"/>
          <w:b/>
          <w:spacing w:val="-4"/>
          <w:sz w:val="24"/>
        </w:rPr>
        <w:t>strategies</w:t>
      </w:r>
      <w:r>
        <w:rPr>
          <w:rFonts w:ascii="Montserrat SemiBold"/>
          <w:b/>
          <w:spacing w:val="-20"/>
          <w:sz w:val="24"/>
        </w:rPr>
        <w:t xml:space="preserve"> </w:t>
      </w:r>
      <w:r>
        <w:rPr>
          <w:rFonts w:ascii="Montserrat SemiBold"/>
          <w:b/>
          <w:spacing w:val="-5"/>
          <w:sz w:val="24"/>
        </w:rPr>
        <w:t>implemented</w:t>
      </w:r>
      <w:r>
        <w:rPr>
          <w:rFonts w:ascii="Montserrat SemiBold"/>
          <w:b/>
          <w:spacing w:val="-21"/>
          <w:sz w:val="24"/>
        </w:rPr>
        <w:t xml:space="preserve"> </w:t>
      </w:r>
      <w:r>
        <w:rPr>
          <w:rFonts w:ascii="Montserrat SemiBold"/>
          <w:b/>
          <w:sz w:val="24"/>
        </w:rPr>
        <w:t>to</w:t>
      </w:r>
      <w:r>
        <w:rPr>
          <w:rFonts w:ascii="Montserrat SemiBold"/>
          <w:b/>
          <w:spacing w:val="-21"/>
          <w:sz w:val="24"/>
        </w:rPr>
        <w:t xml:space="preserve"> </w:t>
      </w:r>
      <w:r>
        <w:rPr>
          <w:rFonts w:ascii="Montserrat SemiBold"/>
          <w:b/>
          <w:spacing w:val="-4"/>
          <w:sz w:val="24"/>
        </w:rPr>
        <w:t>reduce</w:t>
      </w:r>
      <w:r>
        <w:rPr>
          <w:rFonts w:ascii="Montserrat SemiBold"/>
          <w:b/>
          <w:spacing w:val="-20"/>
          <w:sz w:val="24"/>
        </w:rPr>
        <w:t xml:space="preserve"> </w:t>
      </w:r>
      <w:r>
        <w:rPr>
          <w:rFonts w:ascii="Montserrat SemiBold"/>
          <w:b/>
          <w:spacing w:val="-4"/>
          <w:sz w:val="24"/>
        </w:rPr>
        <w:t>student</w:t>
      </w:r>
      <w:r>
        <w:rPr>
          <w:rFonts w:ascii="Montserrat SemiBold"/>
          <w:b/>
          <w:spacing w:val="-21"/>
          <w:sz w:val="24"/>
        </w:rPr>
        <w:t xml:space="preserve"> </w:t>
      </w:r>
      <w:r>
        <w:rPr>
          <w:rFonts w:ascii="Montserrat SemiBold"/>
          <w:b/>
          <w:spacing w:val="-5"/>
          <w:sz w:val="24"/>
        </w:rPr>
        <w:t>bullying</w:t>
      </w:r>
      <w:r>
        <w:rPr>
          <w:rFonts w:ascii="Montserrat SemiBold"/>
          <w:b/>
          <w:spacing w:val="-20"/>
          <w:sz w:val="24"/>
        </w:rPr>
        <w:t xml:space="preserve"> </w:t>
      </w:r>
      <w:r>
        <w:rPr>
          <w:rFonts w:ascii="Montserrat SemiBold"/>
          <w:b/>
          <w:spacing w:val="-4"/>
          <w:sz w:val="24"/>
        </w:rPr>
        <w:t>behaviours.</w:t>
      </w:r>
    </w:p>
    <w:p w:rsidR="00F81455" w:rsidRDefault="00F81455">
      <w:pPr>
        <w:pStyle w:val="BodyText"/>
        <w:rPr>
          <w:rFonts w:ascii="Montserrat SemiBold"/>
          <w:b/>
          <w:sz w:val="20"/>
        </w:rPr>
      </w:pPr>
    </w:p>
    <w:p w:rsidR="00F81455" w:rsidRDefault="00F81455">
      <w:pPr>
        <w:pStyle w:val="BodyText"/>
        <w:spacing w:before="13"/>
        <w:rPr>
          <w:rFonts w:ascii="Montserrat SemiBold"/>
          <w:b/>
          <w:sz w:val="15"/>
        </w:rPr>
      </w:pPr>
    </w:p>
    <w:p w:rsidR="00F81455" w:rsidRDefault="0026212C">
      <w:pPr>
        <w:pStyle w:val="BodyText"/>
        <w:spacing w:before="73"/>
        <w:ind w:left="111"/>
        <w:rPr>
          <w:rFonts w:ascii="Montserrat SemiBold"/>
          <w:b/>
        </w:rPr>
      </w:pPr>
      <w:r>
        <w:rPr>
          <w:rFonts w:ascii="Montserrat SemiBold"/>
          <w:b/>
        </w:rPr>
        <w:t>Resources</w:t>
      </w:r>
    </w:p>
    <w:p w:rsidR="00F81455" w:rsidRDefault="0026212C">
      <w:pPr>
        <w:pStyle w:val="BodyText"/>
        <w:spacing w:before="52" w:line="220" w:lineRule="auto"/>
        <w:ind w:left="111" w:right="219"/>
      </w:pPr>
      <w:r>
        <w:t xml:space="preserve">The NSW anti-bullying website (see: </w:t>
      </w:r>
      <w:hyperlink r:id="rId8">
        <w:r>
          <w:t>https://antibullying.nsw.gov.au</w:t>
        </w:r>
      </w:hyperlink>
      <w:r>
        <w:t>/) provides evidence-based resources and information for schools, parents and carers, and students. Schools are encouraged to visit the website to support whole-school</w:t>
      </w:r>
      <w:r>
        <w:rPr>
          <w:spacing w:val="-21"/>
        </w:rPr>
        <w:t xml:space="preserve"> </w:t>
      </w:r>
      <w:r>
        <w:t>prevention,</w:t>
      </w:r>
      <w:r>
        <w:rPr>
          <w:spacing w:val="-21"/>
        </w:rPr>
        <w:t xml:space="preserve"> </w:t>
      </w:r>
      <w:r>
        <w:t>early</w:t>
      </w:r>
      <w:r>
        <w:rPr>
          <w:spacing w:val="-20"/>
        </w:rPr>
        <w:t xml:space="preserve"> </w:t>
      </w:r>
      <w:r>
        <w:t>intervention</w:t>
      </w:r>
      <w:r>
        <w:rPr>
          <w:spacing w:val="-21"/>
        </w:rPr>
        <w:t xml:space="preserve"> </w:t>
      </w:r>
      <w:r>
        <w:t>and</w:t>
      </w:r>
      <w:r>
        <w:rPr>
          <w:spacing w:val="-21"/>
        </w:rPr>
        <w:t xml:space="preserve"> </w:t>
      </w:r>
      <w:r>
        <w:t>response</w:t>
      </w:r>
      <w:r>
        <w:rPr>
          <w:spacing w:val="-20"/>
        </w:rPr>
        <w:t xml:space="preserve"> </w:t>
      </w:r>
      <w:r>
        <w:t>approaches</w:t>
      </w:r>
      <w:r>
        <w:rPr>
          <w:spacing w:val="-21"/>
        </w:rPr>
        <w:t xml:space="preserve"> </w:t>
      </w:r>
      <w:r>
        <w:t>and</w:t>
      </w:r>
      <w:r>
        <w:rPr>
          <w:spacing w:val="-21"/>
        </w:rPr>
        <w:t xml:space="preserve"> </w:t>
      </w:r>
      <w:r>
        <w:t>strategies</w:t>
      </w:r>
      <w:r>
        <w:rPr>
          <w:spacing w:val="-20"/>
        </w:rPr>
        <w:t xml:space="preserve"> </w:t>
      </w:r>
      <w:r>
        <w:t>for</w:t>
      </w:r>
      <w:r>
        <w:rPr>
          <w:spacing w:val="-21"/>
        </w:rPr>
        <w:t xml:space="preserve"> </w:t>
      </w:r>
      <w:r>
        <w:t>student</w:t>
      </w:r>
      <w:r>
        <w:rPr>
          <w:spacing w:val="-20"/>
        </w:rPr>
        <w:t xml:space="preserve"> </w:t>
      </w:r>
      <w:r>
        <w:t>bullying</w:t>
      </w:r>
      <w:r>
        <w:rPr>
          <w:spacing w:val="-21"/>
        </w:rPr>
        <w:t xml:space="preserve"> </w:t>
      </w:r>
      <w:r>
        <w:t>behaviour.</w:t>
      </w:r>
    </w:p>
    <w:p w:rsidR="00F81455" w:rsidRDefault="00F81455">
      <w:pPr>
        <w:pStyle w:val="BodyText"/>
        <w:spacing w:before="2"/>
        <w:rPr>
          <w:sz w:val="11"/>
        </w:rPr>
      </w:pPr>
    </w:p>
    <w:p w:rsidR="00F81455" w:rsidRDefault="00E013C0">
      <w:pPr>
        <w:pStyle w:val="BodyText"/>
        <w:spacing w:before="73"/>
        <w:ind w:left="144"/>
        <w:rPr>
          <w:rFonts w:ascii="Montserrat SemiBold"/>
          <w:b/>
        </w:rPr>
      </w:pPr>
      <w:r>
        <w:rPr>
          <w:rFonts w:ascii="Montserrat SemiBold"/>
          <w:b/>
        </w:rPr>
        <w:t>Great Lakes College Tuncurry Campus</w:t>
      </w:r>
      <w:r w:rsidR="0026212C">
        <w:rPr>
          <w:rFonts w:ascii="Montserrat SemiBold"/>
          <w:b/>
        </w:rPr>
        <w:t>' commitment</w:t>
      </w:r>
    </w:p>
    <w:p w:rsidR="00F81455" w:rsidRDefault="0026212C">
      <w:pPr>
        <w:pStyle w:val="BodyText"/>
        <w:spacing w:before="88" w:line="220" w:lineRule="auto"/>
        <w:ind w:left="111"/>
      </w:pPr>
      <w:r>
        <w:t>Our school rejects all forms of bullying behaviours, including online (or cyber) bullying by maintaining a commitment to providing a safe, inclusive and respectful learning community that promotes student wellbeing. Executive staff are committed to establishing evidence-based approaches and strategies that promote a positive climate where bullying is less likely to occur.</w:t>
      </w:r>
    </w:p>
    <w:p w:rsidR="00F81455" w:rsidRDefault="00F81455">
      <w:pPr>
        <w:pStyle w:val="BodyText"/>
        <w:spacing w:before="1"/>
      </w:pPr>
    </w:p>
    <w:p w:rsidR="00F81455" w:rsidRDefault="0026212C">
      <w:pPr>
        <w:pStyle w:val="ListParagraph"/>
        <w:numPr>
          <w:ilvl w:val="0"/>
          <w:numId w:val="2"/>
        </w:numPr>
        <w:tabs>
          <w:tab w:val="left" w:pos="314"/>
        </w:tabs>
        <w:ind w:hanging="203"/>
        <w:rPr>
          <w:b/>
          <w:sz w:val="19"/>
        </w:rPr>
      </w:pPr>
      <w:r>
        <w:rPr>
          <w:b/>
          <w:sz w:val="19"/>
        </w:rPr>
        <w:t xml:space="preserve">School </w:t>
      </w:r>
      <w:r>
        <w:rPr>
          <w:b/>
          <w:spacing w:val="-3"/>
          <w:sz w:val="19"/>
        </w:rPr>
        <w:t xml:space="preserve">culture </w:t>
      </w:r>
      <w:proofErr w:type="gramStart"/>
      <w:r>
        <w:rPr>
          <w:b/>
          <w:sz w:val="19"/>
        </w:rPr>
        <w:t>and</w:t>
      </w:r>
      <w:r w:rsidR="003E29FD">
        <w:rPr>
          <w:b/>
          <w:sz w:val="19"/>
        </w:rPr>
        <w:t xml:space="preserve"> </w:t>
      </w:r>
      <w:r>
        <w:rPr>
          <w:b/>
          <w:spacing w:val="-34"/>
          <w:sz w:val="19"/>
        </w:rPr>
        <w:t xml:space="preserve"> </w:t>
      </w:r>
      <w:r>
        <w:rPr>
          <w:b/>
          <w:sz w:val="19"/>
        </w:rPr>
        <w:t>inclusion</w:t>
      </w:r>
      <w:proofErr w:type="gramEnd"/>
    </w:p>
    <w:p w:rsidR="00F81455" w:rsidRDefault="0026212C">
      <w:pPr>
        <w:pStyle w:val="BodyText"/>
        <w:spacing w:before="51" w:line="220" w:lineRule="auto"/>
        <w:ind w:left="111" w:right="228"/>
        <w:jc w:val="both"/>
      </w:pPr>
      <w:r>
        <w:t>All members of the school community are active participants in building a welcoming school culture that values diversity and fosters positive relationships. A key component of a supportive school culture is building respectful relationships and an ethos that bullying is not accepted, in both online and offline environments. School staff will actively respond to student bullying behaviour.</w:t>
      </w:r>
    </w:p>
    <w:p w:rsidR="00F81455" w:rsidRDefault="0026212C">
      <w:pPr>
        <w:pStyle w:val="BodyText"/>
        <w:spacing w:before="121"/>
        <w:ind w:left="111"/>
        <w:jc w:val="both"/>
      </w:pPr>
      <w:r>
        <w:t>Our school engages in the following practices to promote a positive school culture.</w:t>
      </w:r>
    </w:p>
    <w:p w:rsidR="00F81455" w:rsidRDefault="00F81455">
      <w:pPr>
        <w:pStyle w:val="BodyText"/>
        <w:spacing w:before="13"/>
        <w:rPr>
          <w:sz w:val="18"/>
        </w:rPr>
      </w:pPr>
    </w:p>
    <w:p w:rsidR="00F81455" w:rsidRDefault="0026212C">
      <w:pPr>
        <w:pStyle w:val="ListParagraph"/>
        <w:numPr>
          <w:ilvl w:val="1"/>
          <w:numId w:val="2"/>
        </w:numPr>
        <w:tabs>
          <w:tab w:val="left" w:pos="370"/>
        </w:tabs>
        <w:rPr>
          <w:rFonts w:ascii="Montserrat"/>
          <w:sz w:val="19"/>
        </w:rPr>
      </w:pPr>
      <w:r>
        <w:rPr>
          <w:rFonts w:ascii="Montserrat"/>
          <w:spacing w:val="-3"/>
          <w:sz w:val="19"/>
        </w:rPr>
        <w:t>Student</w:t>
      </w:r>
      <w:r>
        <w:rPr>
          <w:rFonts w:ascii="Montserrat"/>
          <w:spacing w:val="-5"/>
          <w:sz w:val="19"/>
        </w:rPr>
        <w:t xml:space="preserve"> </w:t>
      </w:r>
      <w:r>
        <w:rPr>
          <w:rFonts w:ascii="Montserrat"/>
          <w:sz w:val="19"/>
        </w:rPr>
        <w:t>assemblies</w:t>
      </w:r>
    </w:p>
    <w:p w:rsidR="00F81455" w:rsidRDefault="0026212C">
      <w:pPr>
        <w:pStyle w:val="BodyText"/>
        <w:spacing w:before="52" w:line="220" w:lineRule="auto"/>
        <w:ind w:left="111"/>
      </w:pPr>
      <w:r>
        <w:t>Student bullying and expectations about student behaviour will be discussed and information presented to promote a positive school culture where bullying is not accepted.</w:t>
      </w:r>
    </w:p>
    <w:p w:rsidR="00F81455" w:rsidRDefault="00F81455">
      <w:pPr>
        <w:pStyle w:val="BodyText"/>
        <w:spacing w:before="11"/>
        <w:rPr>
          <w:sz w:val="15"/>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56"/>
        <w:gridCol w:w="9511"/>
      </w:tblGrid>
      <w:tr w:rsidR="00F81455">
        <w:trPr>
          <w:trHeight w:val="509"/>
        </w:trPr>
        <w:tc>
          <w:tcPr>
            <w:tcW w:w="1256" w:type="dxa"/>
            <w:tcBorders>
              <w:top w:val="nil"/>
              <w:left w:val="nil"/>
              <w:right w:val="single" w:sz="2" w:space="0" w:color="000000"/>
            </w:tcBorders>
          </w:tcPr>
          <w:p w:rsidR="00F81455" w:rsidRDefault="0026212C">
            <w:pPr>
              <w:pStyle w:val="TableParagraph"/>
              <w:spacing w:before="163"/>
              <w:ind w:left="80"/>
              <w:rPr>
                <w:rFonts w:ascii="Verdana"/>
                <w:sz w:val="18"/>
              </w:rPr>
            </w:pPr>
            <w:r>
              <w:rPr>
                <w:rFonts w:ascii="Verdana"/>
                <w:sz w:val="18"/>
              </w:rPr>
              <w:t>Dates</w:t>
            </w:r>
          </w:p>
        </w:tc>
        <w:tc>
          <w:tcPr>
            <w:tcW w:w="9511" w:type="dxa"/>
            <w:tcBorders>
              <w:top w:val="nil"/>
              <w:left w:val="single" w:sz="2" w:space="0" w:color="000000"/>
              <w:right w:val="nil"/>
            </w:tcBorders>
          </w:tcPr>
          <w:p w:rsidR="00F81455" w:rsidRDefault="0026212C">
            <w:pPr>
              <w:pStyle w:val="TableParagraph"/>
              <w:spacing w:before="163"/>
              <w:ind w:left="77"/>
              <w:rPr>
                <w:rFonts w:ascii="Verdana"/>
                <w:sz w:val="18"/>
              </w:rPr>
            </w:pPr>
            <w:r>
              <w:rPr>
                <w:rFonts w:ascii="Verdana"/>
                <w:w w:val="105"/>
                <w:sz w:val="18"/>
              </w:rPr>
              <w:t>Communication topics</w:t>
            </w:r>
          </w:p>
        </w:tc>
      </w:tr>
      <w:tr w:rsidR="00F81455">
        <w:trPr>
          <w:trHeight w:val="398"/>
        </w:trPr>
        <w:tc>
          <w:tcPr>
            <w:tcW w:w="1256" w:type="dxa"/>
            <w:tcBorders>
              <w:left w:val="nil"/>
              <w:bottom w:val="single" w:sz="2" w:space="0" w:color="000000"/>
              <w:right w:val="single" w:sz="2" w:space="0" w:color="000000"/>
            </w:tcBorders>
          </w:tcPr>
          <w:p w:rsidR="00F81455" w:rsidRDefault="00E013C0">
            <w:pPr>
              <w:pStyle w:val="TableParagraph"/>
              <w:spacing w:before="45"/>
              <w:ind w:left="40"/>
              <w:rPr>
                <w:sz w:val="18"/>
              </w:rPr>
            </w:pPr>
            <w:r>
              <w:rPr>
                <w:sz w:val="18"/>
              </w:rPr>
              <w:t>Term 1</w:t>
            </w:r>
          </w:p>
        </w:tc>
        <w:tc>
          <w:tcPr>
            <w:tcW w:w="9511" w:type="dxa"/>
            <w:tcBorders>
              <w:left w:val="single" w:sz="2" w:space="0" w:color="000000"/>
              <w:bottom w:val="single" w:sz="2" w:space="0" w:color="000000"/>
              <w:right w:val="nil"/>
            </w:tcBorders>
          </w:tcPr>
          <w:p w:rsidR="00F81455" w:rsidRDefault="00E013C0">
            <w:pPr>
              <w:pStyle w:val="TableParagraph"/>
              <w:spacing w:before="42"/>
              <w:ind w:left="122"/>
              <w:rPr>
                <w:sz w:val="18"/>
              </w:rPr>
            </w:pPr>
            <w:r w:rsidRPr="00E013C0">
              <w:rPr>
                <w:sz w:val="18"/>
              </w:rPr>
              <w:t xml:space="preserve">Principal address; </w:t>
            </w:r>
            <w:hyperlink r:id="rId9">
              <w:r w:rsidR="0026212C">
                <w:rPr>
                  <w:sz w:val="18"/>
                </w:rPr>
                <w:t>Behaviour code for students</w:t>
              </w:r>
            </w:hyperlink>
            <w:r>
              <w:rPr>
                <w:sz w:val="18"/>
              </w:rPr>
              <w:t xml:space="preserve">, </w:t>
            </w:r>
            <w:r w:rsidRPr="00E013C0">
              <w:rPr>
                <w:sz w:val="18"/>
              </w:rPr>
              <w:t>Positive Behaviour Learning (PBL)</w:t>
            </w:r>
            <w:r>
              <w:rPr>
                <w:sz w:val="18"/>
              </w:rPr>
              <w:t xml:space="preserve"> Universal rules of Respect, Responsibility and Personal Best promoted and expectations of students explicitly articulated.</w:t>
            </w:r>
          </w:p>
        </w:tc>
      </w:tr>
      <w:tr w:rsidR="00F81455">
        <w:trPr>
          <w:trHeight w:val="396"/>
        </w:trPr>
        <w:tc>
          <w:tcPr>
            <w:tcW w:w="1256" w:type="dxa"/>
            <w:tcBorders>
              <w:top w:val="single" w:sz="2" w:space="0" w:color="000000"/>
              <w:left w:val="nil"/>
              <w:bottom w:val="single" w:sz="2" w:space="0" w:color="000000"/>
              <w:right w:val="single" w:sz="2" w:space="0" w:color="000000"/>
            </w:tcBorders>
          </w:tcPr>
          <w:p w:rsidR="00F81455" w:rsidRPr="00E013C0" w:rsidRDefault="00E013C0" w:rsidP="00E013C0">
            <w:pPr>
              <w:pStyle w:val="TableParagraph"/>
              <w:spacing w:before="45"/>
              <w:ind w:left="40"/>
              <w:rPr>
                <w:rFonts w:ascii="Montserrat ExtraLight" w:hAnsi="Montserrat ExtraLight"/>
                <w:sz w:val="20"/>
                <w:szCs w:val="20"/>
              </w:rPr>
            </w:pPr>
            <w:r w:rsidRPr="00E013C0">
              <w:rPr>
                <w:sz w:val="18"/>
              </w:rPr>
              <w:t>Term 1</w:t>
            </w:r>
          </w:p>
        </w:tc>
        <w:tc>
          <w:tcPr>
            <w:tcW w:w="9511" w:type="dxa"/>
            <w:tcBorders>
              <w:top w:val="single" w:sz="2" w:space="0" w:color="000000"/>
              <w:left w:val="single" w:sz="2" w:space="0" w:color="000000"/>
              <w:bottom w:val="single" w:sz="2" w:space="0" w:color="000000"/>
              <w:right w:val="nil"/>
            </w:tcBorders>
          </w:tcPr>
          <w:p w:rsidR="00F81455" w:rsidRPr="00E013C0" w:rsidRDefault="00E013C0">
            <w:pPr>
              <w:pStyle w:val="TableParagraph"/>
              <w:rPr>
                <w:sz w:val="18"/>
              </w:rPr>
            </w:pPr>
            <w:r w:rsidRPr="00E013C0">
              <w:rPr>
                <w:sz w:val="18"/>
              </w:rPr>
              <w:t xml:space="preserve"> Year Advisor meetings; </w:t>
            </w:r>
            <w:r>
              <w:rPr>
                <w:sz w:val="18"/>
              </w:rPr>
              <w:t>PBL expectations and behaviours communicated to students.</w:t>
            </w:r>
          </w:p>
        </w:tc>
      </w:tr>
      <w:tr w:rsidR="00F81455">
        <w:trPr>
          <w:trHeight w:val="396"/>
        </w:trPr>
        <w:tc>
          <w:tcPr>
            <w:tcW w:w="1256" w:type="dxa"/>
            <w:tcBorders>
              <w:top w:val="single" w:sz="2" w:space="0" w:color="000000"/>
              <w:left w:val="nil"/>
              <w:bottom w:val="single" w:sz="2" w:space="0" w:color="000000"/>
              <w:right w:val="single" w:sz="2" w:space="0" w:color="000000"/>
            </w:tcBorders>
          </w:tcPr>
          <w:p w:rsidR="00F81455" w:rsidRDefault="00E013C0" w:rsidP="00E013C0">
            <w:pPr>
              <w:pStyle w:val="TableParagraph"/>
              <w:spacing w:before="45"/>
              <w:ind w:left="40"/>
              <w:rPr>
                <w:rFonts w:ascii="Times New Roman"/>
                <w:sz w:val="20"/>
              </w:rPr>
            </w:pPr>
            <w:r w:rsidRPr="00E013C0">
              <w:rPr>
                <w:sz w:val="18"/>
              </w:rPr>
              <w:t>Term 1</w:t>
            </w:r>
          </w:p>
        </w:tc>
        <w:tc>
          <w:tcPr>
            <w:tcW w:w="9511" w:type="dxa"/>
            <w:tcBorders>
              <w:top w:val="single" w:sz="2" w:space="0" w:color="000000"/>
              <w:left w:val="single" w:sz="2" w:space="0" w:color="000000"/>
              <w:bottom w:val="single" w:sz="2" w:space="0" w:color="000000"/>
              <w:right w:val="nil"/>
            </w:tcBorders>
          </w:tcPr>
          <w:p w:rsidR="00F81455" w:rsidRPr="00E013C0" w:rsidRDefault="00E013C0">
            <w:pPr>
              <w:pStyle w:val="TableParagraph"/>
              <w:rPr>
                <w:sz w:val="18"/>
              </w:rPr>
            </w:pPr>
            <w:r w:rsidRPr="00E013C0">
              <w:rPr>
                <w:sz w:val="18"/>
              </w:rPr>
              <w:t>National Day of Action Against Bullying</w:t>
            </w:r>
            <w:r>
              <w:rPr>
                <w:sz w:val="18"/>
              </w:rPr>
              <w:t xml:space="preserve"> activities </w:t>
            </w:r>
          </w:p>
        </w:tc>
      </w:tr>
      <w:tr w:rsidR="00F81455">
        <w:trPr>
          <w:trHeight w:val="396"/>
        </w:trPr>
        <w:tc>
          <w:tcPr>
            <w:tcW w:w="1256" w:type="dxa"/>
            <w:tcBorders>
              <w:top w:val="single" w:sz="2" w:space="0" w:color="000000"/>
              <w:left w:val="nil"/>
              <w:bottom w:val="single" w:sz="2" w:space="0" w:color="000000"/>
              <w:right w:val="single" w:sz="2" w:space="0" w:color="000000"/>
            </w:tcBorders>
          </w:tcPr>
          <w:p w:rsidR="00F81455" w:rsidRDefault="00E013C0" w:rsidP="00E013C0">
            <w:pPr>
              <w:pStyle w:val="TableParagraph"/>
              <w:spacing w:before="45"/>
              <w:ind w:left="40"/>
              <w:rPr>
                <w:rFonts w:ascii="Times New Roman"/>
                <w:sz w:val="20"/>
              </w:rPr>
            </w:pPr>
            <w:r>
              <w:rPr>
                <w:sz w:val="18"/>
              </w:rPr>
              <w:t>Ongoing through the year</w:t>
            </w:r>
          </w:p>
        </w:tc>
        <w:tc>
          <w:tcPr>
            <w:tcW w:w="9511" w:type="dxa"/>
            <w:tcBorders>
              <w:top w:val="single" w:sz="2" w:space="0" w:color="000000"/>
              <w:left w:val="single" w:sz="2" w:space="0" w:color="000000"/>
              <w:bottom w:val="single" w:sz="2" w:space="0" w:color="000000"/>
              <w:right w:val="nil"/>
            </w:tcBorders>
          </w:tcPr>
          <w:p w:rsidR="00F81455" w:rsidRDefault="00E013C0">
            <w:pPr>
              <w:pStyle w:val="TableParagraph"/>
              <w:rPr>
                <w:rFonts w:ascii="Times New Roman"/>
                <w:sz w:val="20"/>
              </w:rPr>
            </w:pPr>
            <w:r w:rsidRPr="00E013C0">
              <w:rPr>
                <w:sz w:val="18"/>
              </w:rPr>
              <w:t>PBL rewards will be celebrated at assembly</w:t>
            </w:r>
            <w:r>
              <w:rPr>
                <w:sz w:val="18"/>
              </w:rPr>
              <w:t xml:space="preserve">. Principal will focus on highlighting </w:t>
            </w:r>
            <w:r w:rsidR="0097272A">
              <w:rPr>
                <w:sz w:val="18"/>
              </w:rPr>
              <w:t>specific areas related to PBL universal rules that support anti bullying. The Principal will focus on developing student knowledge and understanding of whole school response to bullying as well as promoting student led actions to support student wellbeing at Great Lakes College Tuncurry Campus.</w:t>
            </w:r>
          </w:p>
        </w:tc>
      </w:tr>
    </w:tbl>
    <w:p w:rsidR="00F81455" w:rsidRDefault="00F81455">
      <w:pPr>
        <w:rPr>
          <w:rFonts w:ascii="Times New Roman"/>
          <w:sz w:val="20"/>
        </w:rPr>
        <w:sectPr w:rsidR="00F81455">
          <w:footerReference w:type="default" r:id="rId10"/>
          <w:type w:val="continuous"/>
          <w:pgSz w:w="11910" w:h="16840"/>
          <w:pgMar w:top="460" w:right="460" w:bottom="840" w:left="460" w:header="720" w:footer="658" w:gutter="0"/>
          <w:cols w:space="720"/>
        </w:sectPr>
      </w:pPr>
    </w:p>
    <w:p w:rsidR="00F81455" w:rsidRDefault="0026212C">
      <w:pPr>
        <w:pStyle w:val="BodyText"/>
        <w:spacing w:before="62"/>
        <w:ind w:left="111"/>
        <w:rPr>
          <w:rFonts w:ascii="Montserrat"/>
        </w:rPr>
      </w:pPr>
      <w:r>
        <w:rPr>
          <w:rFonts w:ascii="Montserrat"/>
        </w:rPr>
        <w:lastRenderedPageBreak/>
        <w:t>1.2 Staff communication and professional learning</w:t>
      </w:r>
    </w:p>
    <w:p w:rsidR="00F81455" w:rsidRDefault="0026212C">
      <w:pPr>
        <w:pStyle w:val="BodyText"/>
        <w:spacing w:before="52" w:line="220" w:lineRule="auto"/>
        <w:ind w:left="111" w:right="219"/>
      </w:pPr>
      <w:r>
        <w:t>Staff will be supported with professional learning that provides evidence-based ways to encourage and teach positive social and emotional wellbeing and discourage, prevent, identify, and respond effectively to student bullying behaviour.</w:t>
      </w:r>
    </w:p>
    <w:p w:rsidR="00F81455" w:rsidRDefault="00F81455">
      <w:pPr>
        <w:pStyle w:val="BodyText"/>
        <w:spacing w:before="13"/>
        <w:rPr>
          <w:sz w:val="8"/>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56"/>
        <w:gridCol w:w="9505"/>
      </w:tblGrid>
      <w:tr w:rsidR="00F81455">
        <w:trPr>
          <w:trHeight w:val="509"/>
        </w:trPr>
        <w:tc>
          <w:tcPr>
            <w:tcW w:w="1256" w:type="dxa"/>
            <w:tcBorders>
              <w:top w:val="nil"/>
              <w:left w:val="nil"/>
              <w:right w:val="single" w:sz="2" w:space="0" w:color="000000"/>
            </w:tcBorders>
          </w:tcPr>
          <w:p w:rsidR="00F81455" w:rsidRDefault="0026212C">
            <w:pPr>
              <w:pStyle w:val="TableParagraph"/>
              <w:spacing w:before="163"/>
              <w:ind w:left="80"/>
              <w:rPr>
                <w:rFonts w:ascii="Verdana"/>
                <w:sz w:val="18"/>
              </w:rPr>
            </w:pPr>
            <w:r>
              <w:rPr>
                <w:rFonts w:ascii="Verdana"/>
                <w:sz w:val="18"/>
              </w:rPr>
              <w:t>Dates</w:t>
            </w:r>
          </w:p>
        </w:tc>
        <w:tc>
          <w:tcPr>
            <w:tcW w:w="9505" w:type="dxa"/>
            <w:tcBorders>
              <w:top w:val="nil"/>
              <w:left w:val="single" w:sz="2" w:space="0" w:color="000000"/>
              <w:right w:val="nil"/>
            </w:tcBorders>
          </w:tcPr>
          <w:p w:rsidR="00F81455" w:rsidRDefault="0026212C">
            <w:pPr>
              <w:pStyle w:val="TableParagraph"/>
              <w:spacing w:before="163"/>
              <w:ind w:left="77"/>
              <w:rPr>
                <w:rFonts w:ascii="Verdana"/>
                <w:sz w:val="18"/>
              </w:rPr>
            </w:pPr>
            <w:r>
              <w:rPr>
                <w:rFonts w:ascii="Verdana"/>
                <w:w w:val="105"/>
                <w:sz w:val="18"/>
              </w:rPr>
              <w:t>Communication topics and Professional learning</w:t>
            </w:r>
          </w:p>
        </w:tc>
      </w:tr>
      <w:tr w:rsidR="00F81455">
        <w:trPr>
          <w:trHeight w:val="398"/>
        </w:trPr>
        <w:tc>
          <w:tcPr>
            <w:tcW w:w="1256" w:type="dxa"/>
            <w:tcBorders>
              <w:left w:val="nil"/>
              <w:bottom w:val="single" w:sz="2" w:space="0" w:color="000000"/>
              <w:right w:val="single" w:sz="2" w:space="0" w:color="000000"/>
            </w:tcBorders>
          </w:tcPr>
          <w:p w:rsidR="00F81455" w:rsidRDefault="000E15DE">
            <w:pPr>
              <w:pStyle w:val="TableParagraph"/>
              <w:rPr>
                <w:rFonts w:ascii="Times New Roman"/>
                <w:sz w:val="18"/>
              </w:rPr>
            </w:pPr>
            <w:r w:rsidRPr="000E15DE">
              <w:rPr>
                <w:sz w:val="18"/>
              </w:rPr>
              <w:t>28/1/2020</w:t>
            </w:r>
          </w:p>
        </w:tc>
        <w:tc>
          <w:tcPr>
            <w:tcW w:w="9505" w:type="dxa"/>
            <w:tcBorders>
              <w:left w:val="single" w:sz="2" w:space="0" w:color="000000"/>
              <w:bottom w:val="single" w:sz="2" w:space="0" w:color="000000"/>
              <w:right w:val="nil"/>
            </w:tcBorders>
          </w:tcPr>
          <w:p w:rsidR="00F81455" w:rsidRDefault="002E07B8">
            <w:pPr>
              <w:pStyle w:val="TableParagraph"/>
              <w:spacing w:before="47"/>
              <w:ind w:left="137"/>
              <w:rPr>
                <w:sz w:val="18"/>
              </w:rPr>
            </w:pPr>
            <w:r>
              <w:rPr>
                <w:sz w:val="18"/>
              </w:rPr>
              <w:t xml:space="preserve">“We are the Champions” Nic </w:t>
            </w:r>
            <w:proofErr w:type="spellStart"/>
            <w:r>
              <w:rPr>
                <w:sz w:val="18"/>
              </w:rPr>
              <w:t>Newling</w:t>
            </w:r>
            <w:proofErr w:type="spellEnd"/>
            <w:r>
              <w:rPr>
                <w:sz w:val="18"/>
              </w:rPr>
              <w:t xml:space="preserve"> guest speaker at College School Development day to raise awareness of mental health.</w:t>
            </w:r>
          </w:p>
        </w:tc>
      </w:tr>
      <w:tr w:rsidR="00F81455">
        <w:trPr>
          <w:trHeight w:val="396"/>
        </w:trPr>
        <w:tc>
          <w:tcPr>
            <w:tcW w:w="1256" w:type="dxa"/>
            <w:tcBorders>
              <w:top w:val="single" w:sz="2" w:space="0" w:color="000000"/>
              <w:left w:val="nil"/>
              <w:bottom w:val="single" w:sz="2" w:space="0" w:color="000000"/>
              <w:right w:val="single" w:sz="2" w:space="0" w:color="000000"/>
            </w:tcBorders>
          </w:tcPr>
          <w:p w:rsidR="00F81455" w:rsidRDefault="002E07B8">
            <w:pPr>
              <w:pStyle w:val="TableParagraph"/>
              <w:rPr>
                <w:rFonts w:ascii="Times New Roman"/>
                <w:sz w:val="18"/>
              </w:rPr>
            </w:pPr>
            <w:r w:rsidRPr="002E07B8">
              <w:rPr>
                <w:sz w:val="18"/>
              </w:rPr>
              <w:t>20/3/20</w:t>
            </w:r>
            <w:r>
              <w:rPr>
                <w:sz w:val="18"/>
              </w:rPr>
              <w:t>20</w:t>
            </w:r>
          </w:p>
        </w:tc>
        <w:tc>
          <w:tcPr>
            <w:tcW w:w="9505" w:type="dxa"/>
            <w:tcBorders>
              <w:top w:val="single" w:sz="2" w:space="0" w:color="000000"/>
              <w:left w:val="single" w:sz="2" w:space="0" w:color="000000"/>
              <w:bottom w:val="single" w:sz="2" w:space="0" w:color="000000"/>
              <w:right w:val="nil"/>
            </w:tcBorders>
          </w:tcPr>
          <w:p w:rsidR="00F81455" w:rsidRDefault="002E07B8">
            <w:pPr>
              <w:pStyle w:val="TableParagraph"/>
              <w:rPr>
                <w:rFonts w:ascii="Times New Roman"/>
                <w:sz w:val="18"/>
              </w:rPr>
            </w:pPr>
            <w:r>
              <w:rPr>
                <w:sz w:val="18"/>
              </w:rPr>
              <w:t xml:space="preserve">    </w:t>
            </w:r>
            <w:r w:rsidRPr="002E07B8">
              <w:rPr>
                <w:sz w:val="18"/>
              </w:rPr>
              <w:t>National day of action Against Bullying and Violence</w:t>
            </w:r>
            <w:r>
              <w:rPr>
                <w:sz w:val="18"/>
              </w:rPr>
              <w:t xml:space="preserve"> promotion and organisation </w:t>
            </w:r>
          </w:p>
        </w:tc>
      </w:tr>
      <w:tr w:rsidR="00F81455">
        <w:trPr>
          <w:trHeight w:val="396"/>
        </w:trPr>
        <w:tc>
          <w:tcPr>
            <w:tcW w:w="1256" w:type="dxa"/>
            <w:tcBorders>
              <w:top w:val="single" w:sz="2" w:space="0" w:color="000000"/>
              <w:left w:val="nil"/>
              <w:bottom w:val="single" w:sz="2" w:space="0" w:color="000000"/>
              <w:right w:val="single" w:sz="2" w:space="0" w:color="000000"/>
            </w:tcBorders>
          </w:tcPr>
          <w:p w:rsidR="00F81455" w:rsidRDefault="002E07B8">
            <w:pPr>
              <w:pStyle w:val="TableParagraph"/>
              <w:rPr>
                <w:rFonts w:ascii="Times New Roman"/>
                <w:sz w:val="18"/>
              </w:rPr>
            </w:pPr>
            <w:r w:rsidRPr="002E07B8">
              <w:rPr>
                <w:sz w:val="18"/>
              </w:rPr>
              <w:t>TBA</w:t>
            </w:r>
          </w:p>
        </w:tc>
        <w:tc>
          <w:tcPr>
            <w:tcW w:w="9505" w:type="dxa"/>
            <w:tcBorders>
              <w:top w:val="single" w:sz="2" w:space="0" w:color="000000"/>
              <w:left w:val="single" w:sz="2" w:space="0" w:color="000000"/>
              <w:bottom w:val="single" w:sz="2" w:space="0" w:color="000000"/>
              <w:right w:val="nil"/>
            </w:tcBorders>
          </w:tcPr>
          <w:p w:rsidR="00F81455" w:rsidRDefault="002E07B8">
            <w:pPr>
              <w:pStyle w:val="TableParagraph"/>
              <w:rPr>
                <w:rFonts w:ascii="Times New Roman"/>
                <w:sz w:val="18"/>
              </w:rPr>
            </w:pPr>
            <w:r>
              <w:rPr>
                <w:sz w:val="18"/>
              </w:rPr>
              <w:t xml:space="preserve">    </w:t>
            </w:r>
            <w:r w:rsidRPr="002E07B8">
              <w:rPr>
                <w:sz w:val="18"/>
              </w:rPr>
              <w:t>Mental Health First Aid Training</w:t>
            </w:r>
            <w:r>
              <w:rPr>
                <w:sz w:val="18"/>
              </w:rPr>
              <w:t xml:space="preserve">- refresher course for existing trained staff. Whole course offered to </w:t>
            </w:r>
            <w:proofErr w:type="gramStart"/>
            <w:r>
              <w:rPr>
                <w:sz w:val="18"/>
              </w:rPr>
              <w:t>new  and</w:t>
            </w:r>
            <w:proofErr w:type="gramEnd"/>
            <w:r>
              <w:rPr>
                <w:sz w:val="18"/>
              </w:rPr>
              <w:t xml:space="preserve"> interested staff.</w:t>
            </w:r>
          </w:p>
        </w:tc>
      </w:tr>
      <w:tr w:rsidR="00F81455">
        <w:trPr>
          <w:trHeight w:val="396"/>
        </w:trPr>
        <w:tc>
          <w:tcPr>
            <w:tcW w:w="1256" w:type="dxa"/>
            <w:tcBorders>
              <w:top w:val="single" w:sz="2" w:space="0" w:color="000000"/>
              <w:left w:val="nil"/>
              <w:bottom w:val="single" w:sz="2" w:space="0" w:color="000000"/>
              <w:right w:val="single" w:sz="2" w:space="0" w:color="000000"/>
            </w:tcBorders>
          </w:tcPr>
          <w:p w:rsidR="00F81455" w:rsidRPr="002E07B8" w:rsidRDefault="0057410D">
            <w:pPr>
              <w:pStyle w:val="TableParagraph"/>
              <w:rPr>
                <w:sz w:val="18"/>
              </w:rPr>
            </w:pPr>
            <w:bookmarkStart w:id="0" w:name="_Hlk38358518"/>
            <w:r>
              <w:rPr>
                <w:sz w:val="18"/>
              </w:rPr>
              <w:t>4/5/2020</w:t>
            </w:r>
          </w:p>
        </w:tc>
        <w:tc>
          <w:tcPr>
            <w:tcW w:w="9505" w:type="dxa"/>
            <w:tcBorders>
              <w:top w:val="single" w:sz="2" w:space="0" w:color="000000"/>
              <w:left w:val="single" w:sz="2" w:space="0" w:color="000000"/>
              <w:bottom w:val="single" w:sz="2" w:space="0" w:color="000000"/>
              <w:right w:val="nil"/>
            </w:tcBorders>
          </w:tcPr>
          <w:p w:rsidR="00F81455" w:rsidRPr="002E07B8" w:rsidRDefault="0057410D">
            <w:pPr>
              <w:pStyle w:val="TableParagraph"/>
              <w:rPr>
                <w:sz w:val="18"/>
              </w:rPr>
            </w:pPr>
            <w:r>
              <w:rPr>
                <w:sz w:val="18"/>
              </w:rPr>
              <w:t>Online bullying</w:t>
            </w:r>
            <w:r w:rsidR="00894F35">
              <w:rPr>
                <w:sz w:val="18"/>
              </w:rPr>
              <w:t>;</w:t>
            </w:r>
            <w:r>
              <w:rPr>
                <w:sz w:val="18"/>
              </w:rPr>
              <w:t xml:space="preserve"> monitoring and reporting procedures for staff and management responses of Tuncurry campus.</w:t>
            </w:r>
          </w:p>
        </w:tc>
      </w:tr>
      <w:bookmarkEnd w:id="0"/>
      <w:tr w:rsidR="0057410D">
        <w:trPr>
          <w:trHeight w:val="396"/>
        </w:trPr>
        <w:tc>
          <w:tcPr>
            <w:tcW w:w="1256" w:type="dxa"/>
            <w:tcBorders>
              <w:top w:val="single" w:sz="2" w:space="0" w:color="000000"/>
              <w:left w:val="nil"/>
              <w:bottom w:val="single" w:sz="2" w:space="0" w:color="000000"/>
              <w:right w:val="single" w:sz="2" w:space="0" w:color="000000"/>
            </w:tcBorders>
          </w:tcPr>
          <w:p w:rsidR="0057410D" w:rsidRPr="002E07B8" w:rsidRDefault="0057410D" w:rsidP="0057410D">
            <w:pPr>
              <w:pStyle w:val="TableParagraph"/>
              <w:rPr>
                <w:sz w:val="18"/>
              </w:rPr>
            </w:pPr>
            <w:r w:rsidRPr="002E07B8">
              <w:rPr>
                <w:sz w:val="18"/>
              </w:rPr>
              <w:t>16/12/2020</w:t>
            </w:r>
          </w:p>
        </w:tc>
        <w:tc>
          <w:tcPr>
            <w:tcW w:w="9505" w:type="dxa"/>
            <w:tcBorders>
              <w:top w:val="single" w:sz="2" w:space="0" w:color="000000"/>
              <w:left w:val="single" w:sz="2" w:space="0" w:color="000000"/>
              <w:bottom w:val="single" w:sz="2" w:space="0" w:color="000000"/>
              <w:right w:val="nil"/>
            </w:tcBorders>
          </w:tcPr>
          <w:p w:rsidR="0057410D" w:rsidRPr="002E07B8" w:rsidRDefault="0057410D" w:rsidP="0057410D">
            <w:pPr>
              <w:pStyle w:val="TableParagraph"/>
              <w:rPr>
                <w:sz w:val="18"/>
              </w:rPr>
            </w:pPr>
            <w:r w:rsidRPr="002E07B8">
              <w:rPr>
                <w:sz w:val="18"/>
              </w:rPr>
              <w:t>Disability standards for Education Junior school</w:t>
            </w:r>
          </w:p>
        </w:tc>
      </w:tr>
    </w:tbl>
    <w:p w:rsidR="00F81455" w:rsidRDefault="00F81455">
      <w:pPr>
        <w:pStyle w:val="BodyText"/>
        <w:spacing w:before="13"/>
        <w:rPr>
          <w:sz w:val="21"/>
        </w:rPr>
      </w:pPr>
    </w:p>
    <w:p w:rsidR="00F81455" w:rsidRDefault="0026212C">
      <w:pPr>
        <w:pStyle w:val="BodyText"/>
        <w:ind w:left="111"/>
        <w:rPr>
          <w:rFonts w:ascii="Montserrat"/>
        </w:rPr>
      </w:pPr>
      <w:r>
        <w:rPr>
          <w:rFonts w:ascii="Montserrat"/>
        </w:rPr>
        <w:t>1.3. New and casual staff</w:t>
      </w:r>
    </w:p>
    <w:p w:rsidR="00F81455" w:rsidRDefault="0026212C">
      <w:pPr>
        <w:pStyle w:val="BodyText"/>
        <w:spacing w:before="52" w:line="220" w:lineRule="auto"/>
        <w:ind w:left="111"/>
      </w:pPr>
      <w:r>
        <w:t>New and casual staff will be informed about our school’s approaches and strategies to prevent and respond to student bullying behaviour in the following ways.</w:t>
      </w:r>
    </w:p>
    <w:p w:rsidR="00F81455" w:rsidRDefault="0026212C">
      <w:pPr>
        <w:pStyle w:val="BodyText"/>
        <w:spacing w:before="1"/>
        <w:rPr>
          <w:sz w:val="13"/>
        </w:rPr>
      </w:pPr>
      <w:r>
        <w:rPr>
          <w:noProof/>
        </w:rPr>
        <mc:AlternateContent>
          <mc:Choice Requires="wps">
            <w:drawing>
              <wp:anchor distT="0" distB="0" distL="0" distR="0" simplePos="0" relativeHeight="251661312" behindDoc="1" locked="0" layoutInCell="1" allowOverlap="1">
                <wp:simplePos x="0" y="0"/>
                <wp:positionH relativeFrom="page">
                  <wp:posOffset>356870</wp:posOffset>
                </wp:positionH>
                <wp:positionV relativeFrom="paragraph">
                  <wp:posOffset>130175</wp:posOffset>
                </wp:positionV>
                <wp:extent cx="6833870" cy="2682240"/>
                <wp:effectExtent l="0" t="0" r="0" b="0"/>
                <wp:wrapTopAndBottom/>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3870" cy="2682240"/>
                        </a:xfrm>
                        <a:prstGeom prst="rect">
                          <a:avLst/>
                        </a:prstGeom>
                        <a:solidFill>
                          <a:srgbClr val="EAF6F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1455" w:rsidRPr="00A555C6" w:rsidRDefault="00A555C6" w:rsidP="00A555C6">
                            <w:pPr>
                              <w:pStyle w:val="BodyText"/>
                              <w:spacing w:before="137" w:line="220" w:lineRule="auto"/>
                              <w:ind w:left="111" w:right="230"/>
                            </w:pPr>
                            <w:r w:rsidRPr="00A555C6">
                              <w:t>Great Lakes College Tuncurry Campus produces and provides a Staff Handbook each year. This handbook is provided to all staff and is included in a package provided to new and casual staff.</w:t>
                            </w:r>
                          </w:p>
                          <w:p w:rsidR="00A555C6" w:rsidRDefault="00A555C6" w:rsidP="000E15DE">
                            <w:pPr>
                              <w:pStyle w:val="BodyText"/>
                              <w:spacing w:before="137" w:line="220" w:lineRule="auto"/>
                              <w:ind w:left="111" w:right="230"/>
                            </w:pPr>
                            <w:r w:rsidRPr="00A555C6">
                              <w:t>The handbook outlines the PBL expectations for staff and the examples of behaviours expected from students.</w:t>
                            </w:r>
                            <w:r w:rsidR="000E15DE">
                              <w:t xml:space="preserve"> There is also a sequence of management of student behaviours provided to staff so there is a consistent and fair response to behaviour across the school for all students.</w:t>
                            </w:r>
                          </w:p>
                          <w:p w:rsidR="000E15DE" w:rsidRDefault="000E15DE" w:rsidP="000E15DE">
                            <w:pPr>
                              <w:pStyle w:val="BodyText"/>
                              <w:spacing w:before="137" w:line="220" w:lineRule="auto"/>
                              <w:ind w:left="111" w:right="230"/>
                            </w:pPr>
                            <w:r>
                              <w:t>The Ernie rewards system is also outlined in the staff handbook and the procedure for disseminating and recording student awards is explicitly outlined.</w:t>
                            </w:r>
                          </w:p>
                          <w:p w:rsidR="000E15DE" w:rsidRDefault="000E15DE" w:rsidP="00A555C6">
                            <w:pPr>
                              <w:pStyle w:val="BodyText"/>
                              <w:spacing w:before="137" w:line="220" w:lineRule="auto"/>
                              <w:ind w:left="111" w:right="230"/>
                            </w:pPr>
                            <w:r>
                              <w:t>New staff will meet with the Deputy Principals and Principal to discuss staff and student behaviour expectations and will be supported to meet these expectations through regular induction meetings and follow up staff meetings.</w:t>
                            </w:r>
                          </w:p>
                          <w:p w:rsidR="000E15DE" w:rsidRPr="00A555C6" w:rsidRDefault="000E15DE" w:rsidP="00A555C6">
                            <w:pPr>
                              <w:pStyle w:val="BodyText"/>
                              <w:spacing w:before="137" w:line="220" w:lineRule="auto"/>
                              <w:ind w:left="111" w:right="230"/>
                            </w:pPr>
                            <w:r>
                              <w:t>Throughout the first year at Tuncurry campus new staff will participate in professional learning regarding PBL to support the whole school implementation of this 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28.1pt;margin-top:10.25pt;width:538.1pt;height:211.2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" fillcolor="#eaf6fe" stroked="f">
                <v:textbox inset="0,0,0,0">
                  <w:txbxContent>
                    <w:p w:rsidR="00F81455" w:rsidRPr="00A555C6" w:rsidRDefault="00A555C6" w:rsidP="00A555C6">
                      <w:pPr>
                        <w:pStyle w:val="BodyText"/>
                        <w:spacing w:before="137" w:line="220" w:lineRule="auto"/>
                        <w:ind w:left="111" w:right="230"/>
                      </w:pPr>
                      <w:r w:rsidRPr="00A555C6">
                        <w:t>Great Lakes College Tuncurry Campus produces and provides a Staff Handbook each year. This handbook is provided to all staff and is included in a package provided to new and casual staff.</w:t>
                      </w:r>
                    </w:p>
                    <w:p w:rsidR="00A555C6" w:rsidRDefault="00A555C6" w:rsidP="000E15DE">
                      <w:pPr>
                        <w:pStyle w:val="BodyText"/>
                        <w:spacing w:before="137" w:line="220" w:lineRule="auto"/>
                        <w:ind w:left="111" w:right="230"/>
                      </w:pPr>
                      <w:r w:rsidRPr="00A555C6">
                        <w:t>The handbook outlines the PBL expectations for staff and the examples of behaviours expected from students.</w:t>
                      </w:r>
                      <w:r w:rsidR="000E15DE">
                        <w:t xml:space="preserve"> There is also a sequence of management of student behaviours provided to staff so there is a consistent and fair response to behaviour across the school for all students.</w:t>
                      </w:r>
                    </w:p>
                    <w:p w:rsidR="000E15DE" w:rsidRDefault="000E15DE" w:rsidP="000E15DE">
                      <w:pPr>
                        <w:pStyle w:val="BodyText"/>
                        <w:spacing w:before="137" w:line="220" w:lineRule="auto"/>
                        <w:ind w:left="111" w:right="230"/>
                      </w:pPr>
                      <w:r>
                        <w:t>The Ernie rewards system is also outlined in the staff handbook and the procedure for disseminating and recording student awards is explicitly outlined.</w:t>
                      </w:r>
                    </w:p>
                    <w:p w:rsidR="000E15DE" w:rsidRDefault="000E15DE" w:rsidP="00A555C6">
                      <w:pPr>
                        <w:pStyle w:val="BodyText"/>
                        <w:spacing w:before="137" w:line="220" w:lineRule="auto"/>
                        <w:ind w:left="111" w:right="230"/>
                      </w:pPr>
                      <w:r>
                        <w:t>New staff will meet with the Deputy Principals and Principal to discuss staff and student behaviour expectations and will be supported to meet these expectations through regular induction meetings and follow up staff meetings.</w:t>
                      </w:r>
                    </w:p>
                    <w:p w:rsidR="000E15DE" w:rsidRPr="00A555C6" w:rsidRDefault="000E15DE" w:rsidP="00A555C6">
                      <w:pPr>
                        <w:pStyle w:val="BodyText"/>
                        <w:spacing w:before="137" w:line="220" w:lineRule="auto"/>
                        <w:ind w:left="111" w:right="230"/>
                      </w:pPr>
                      <w:r>
                        <w:t>Throughout the first year at Tuncurry campus new staff will participate in professional learning regarding PBL to support the whole school implementation of this program.</w:t>
                      </w:r>
                    </w:p>
                  </w:txbxContent>
                </v:textbox>
                <w10:wrap type="topAndBottom" anchorx="page"/>
              </v:shape>
            </w:pict>
          </mc:Fallback>
        </mc:AlternateContent>
      </w:r>
    </w:p>
    <w:p w:rsidR="00F81455" w:rsidRDefault="00F81455">
      <w:pPr>
        <w:pStyle w:val="BodyText"/>
        <w:spacing w:before="12"/>
        <w:rPr>
          <w:sz w:val="25"/>
        </w:rPr>
      </w:pPr>
    </w:p>
    <w:p w:rsidR="00F81455" w:rsidRDefault="0026212C">
      <w:pPr>
        <w:pStyle w:val="ListParagraph"/>
        <w:numPr>
          <w:ilvl w:val="0"/>
          <w:numId w:val="2"/>
        </w:numPr>
        <w:tabs>
          <w:tab w:val="left" w:pos="316"/>
        </w:tabs>
        <w:ind w:left="315" w:hanging="205"/>
        <w:rPr>
          <w:b/>
          <w:sz w:val="19"/>
        </w:rPr>
      </w:pPr>
      <w:r>
        <w:rPr>
          <w:b/>
          <w:sz w:val="19"/>
        </w:rPr>
        <w:t>Partnerships</w:t>
      </w:r>
      <w:r>
        <w:rPr>
          <w:b/>
          <w:spacing w:val="-13"/>
          <w:sz w:val="19"/>
        </w:rPr>
        <w:t xml:space="preserve"> </w:t>
      </w:r>
      <w:r>
        <w:rPr>
          <w:b/>
          <w:sz w:val="19"/>
        </w:rPr>
        <w:t>with</w:t>
      </w:r>
      <w:r>
        <w:rPr>
          <w:b/>
          <w:spacing w:val="-13"/>
          <w:sz w:val="19"/>
        </w:rPr>
        <w:t xml:space="preserve"> </w:t>
      </w:r>
      <w:r>
        <w:rPr>
          <w:b/>
          <w:sz w:val="19"/>
        </w:rPr>
        <w:t>families</w:t>
      </w:r>
      <w:r>
        <w:rPr>
          <w:b/>
          <w:spacing w:val="-12"/>
          <w:sz w:val="19"/>
        </w:rPr>
        <w:t xml:space="preserve"> </w:t>
      </w:r>
      <w:r>
        <w:rPr>
          <w:b/>
          <w:sz w:val="19"/>
        </w:rPr>
        <w:t>and</w:t>
      </w:r>
      <w:r>
        <w:rPr>
          <w:b/>
          <w:spacing w:val="-13"/>
          <w:sz w:val="19"/>
        </w:rPr>
        <w:t xml:space="preserve"> </w:t>
      </w:r>
      <w:r>
        <w:rPr>
          <w:b/>
          <w:sz w:val="19"/>
        </w:rPr>
        <w:t>community</w:t>
      </w:r>
    </w:p>
    <w:p w:rsidR="00F81455" w:rsidRDefault="0026212C">
      <w:pPr>
        <w:pStyle w:val="BodyText"/>
        <w:spacing w:before="137" w:line="220" w:lineRule="auto"/>
        <w:ind w:left="111" w:right="230"/>
      </w:pPr>
      <w:r>
        <w:t>Effective schools have high levels of parental and community involvement. This involvement is strongly related to improved student learning, attendance and behaviour. Our school proactively builds collaborative relationships with families and communities to create a shared understanding of how to support student learning, safety</w:t>
      </w:r>
    </w:p>
    <w:p w:rsidR="00F81455" w:rsidRDefault="0026212C">
      <w:pPr>
        <w:pStyle w:val="BodyText"/>
        <w:spacing w:line="242" w:lineRule="exact"/>
        <w:ind w:left="111"/>
      </w:pPr>
      <w:r>
        <w:t>and wellbeing.</w:t>
      </w:r>
    </w:p>
    <w:p w:rsidR="00F81455" w:rsidRDefault="00F81455">
      <w:pPr>
        <w:pStyle w:val="BodyText"/>
        <w:spacing w:before="13"/>
        <w:rPr>
          <w:sz w:val="18"/>
        </w:rPr>
      </w:pPr>
    </w:p>
    <w:p w:rsidR="00F81455" w:rsidRDefault="0026212C">
      <w:pPr>
        <w:pStyle w:val="ListParagraph"/>
        <w:numPr>
          <w:ilvl w:val="1"/>
          <w:numId w:val="2"/>
        </w:numPr>
        <w:tabs>
          <w:tab w:val="left" w:pos="413"/>
        </w:tabs>
        <w:ind w:left="412" w:hanging="302"/>
        <w:rPr>
          <w:rFonts w:ascii="Montserrat"/>
          <w:sz w:val="19"/>
        </w:rPr>
      </w:pPr>
      <w:r>
        <w:rPr>
          <w:rFonts w:ascii="Montserrat"/>
          <w:spacing w:val="-4"/>
          <w:sz w:val="19"/>
        </w:rPr>
        <w:t>Website</w:t>
      </w:r>
    </w:p>
    <w:p w:rsidR="00F81455" w:rsidRDefault="0026212C">
      <w:pPr>
        <w:pStyle w:val="BodyText"/>
        <w:spacing w:before="51" w:line="220" w:lineRule="auto"/>
        <w:ind w:left="111" w:right="251"/>
      </w:pPr>
      <w:r>
        <w:t>Our school website has information to support families help their children to regulate their emotions and behaviour and develop socially. Information is provided to assist if children have been involved in bullying behaviour (as the person engaging in bullying behaviour, as the person being bullied or as the person witnessing the bullying behaviour).</w:t>
      </w:r>
    </w:p>
    <w:p w:rsidR="00F81455" w:rsidRDefault="0026212C">
      <w:pPr>
        <w:pStyle w:val="BodyText"/>
        <w:spacing w:before="121"/>
        <w:ind w:left="111"/>
      </w:pPr>
      <w:r>
        <w:t>The following are published on our school’s website.</w:t>
      </w:r>
    </w:p>
    <w:p w:rsidR="00F81455" w:rsidRDefault="00A555C6" w:rsidP="00A555C6">
      <w:pPr>
        <w:pStyle w:val="BodyText"/>
        <w:tabs>
          <w:tab w:val="left" w:pos="3248"/>
          <w:tab w:val="left" w:pos="6130"/>
          <w:tab w:val="left" w:pos="6252"/>
        </w:tabs>
        <w:spacing w:before="120"/>
        <w:ind w:left="330"/>
      </w:pPr>
      <w:r>
        <w:rPr>
          <w:noProof/>
        </w:rPr>
        <w:drawing>
          <wp:inline distT="0" distB="0" distL="0" distR="0">
            <wp:extent cx="139700" cy="139700"/>
            <wp:effectExtent l="0" t="0" r="0" b="0"/>
            <wp:docPr id="2" name="Graphic 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39700" cy="139700"/>
                    </a:xfrm>
                    <a:prstGeom prst="rect">
                      <a:avLst/>
                    </a:prstGeom>
                  </pic:spPr>
                </pic:pic>
              </a:graphicData>
            </a:graphic>
          </wp:inline>
        </w:drawing>
      </w:r>
      <w:r w:rsidR="0026212C">
        <w:rPr>
          <w:noProof/>
        </w:rPr>
        <mc:AlternateContent>
          <mc:Choice Requires="wps">
            <w:drawing>
              <wp:anchor distT="0" distB="0" distL="114300" distR="114300" simplePos="0" relativeHeight="251448320" behindDoc="1" locked="0" layoutInCell="1" allowOverlap="1">
                <wp:simplePos x="0" y="0"/>
                <wp:positionH relativeFrom="page">
                  <wp:posOffset>2217420</wp:posOffset>
                </wp:positionH>
                <wp:positionV relativeFrom="paragraph">
                  <wp:posOffset>108585</wp:posOffset>
                </wp:positionV>
                <wp:extent cx="99695" cy="99695"/>
                <wp:effectExtent l="0" t="0" r="0" b="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99695"/>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97158D" id="Rectangle 5" o:spid="_x0000_s1026" style="position:absolute;margin-left:174.6pt;margin-top:8.55pt;width:7.85pt;height:7.85pt;z-index:-251868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" filled="f" strokeweight=".25pt">
                <w10:wrap anchorx="page"/>
              </v:rect>
            </w:pict>
          </mc:Fallback>
        </mc:AlternateContent>
      </w:r>
      <w:r w:rsidR="0026212C">
        <w:t>School Anti-bullying Plan</w:t>
      </w:r>
      <w:r>
        <w:t xml:space="preserve">  </w:t>
      </w:r>
      <w:r w:rsidR="000E15DE">
        <w:rPr>
          <w:noProof/>
        </w:rPr>
        <w:drawing>
          <wp:inline distT="0" distB="0" distL="0" distR="0" wp14:anchorId="7B554843" wp14:editId="11C234CB">
            <wp:extent cx="139700" cy="139700"/>
            <wp:effectExtent l="0" t="0" r="0" b="0"/>
            <wp:docPr id="6" name="Graphic 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39700" cy="139700"/>
                    </a:xfrm>
                    <a:prstGeom prst="rect">
                      <a:avLst/>
                    </a:prstGeom>
                  </pic:spPr>
                </pic:pic>
              </a:graphicData>
            </a:graphic>
          </wp:inline>
        </w:drawing>
      </w:r>
      <w:r w:rsidR="000E15DE">
        <w:t xml:space="preserve">  </w:t>
      </w:r>
      <w:r w:rsidR="0026212C">
        <w:t>Behaviour Code for</w:t>
      </w:r>
      <w:r w:rsidR="0026212C">
        <w:rPr>
          <w:spacing w:val="18"/>
        </w:rPr>
        <w:t xml:space="preserve"> </w:t>
      </w:r>
      <w:r w:rsidR="0026212C">
        <w:t>Students</w:t>
      </w:r>
    </w:p>
    <w:p w:rsidR="00F81455" w:rsidRDefault="00F81455">
      <w:pPr>
        <w:sectPr w:rsidR="00F81455">
          <w:pgSz w:w="11910" w:h="16840"/>
          <w:pgMar w:top="460" w:right="460" w:bottom="840" w:left="460" w:header="0" w:footer="658" w:gutter="0"/>
          <w:cols w:space="720"/>
        </w:sectPr>
      </w:pPr>
      <w:bookmarkStart w:id="1" w:name="_GoBack"/>
      <w:bookmarkEnd w:id="1"/>
    </w:p>
    <w:p w:rsidR="00F81455" w:rsidRDefault="0026212C">
      <w:pPr>
        <w:pStyle w:val="ListParagraph"/>
        <w:numPr>
          <w:ilvl w:val="1"/>
          <w:numId w:val="2"/>
        </w:numPr>
        <w:tabs>
          <w:tab w:val="left" w:pos="462"/>
        </w:tabs>
        <w:spacing w:before="62"/>
        <w:ind w:left="461" w:hanging="356"/>
        <w:rPr>
          <w:rFonts w:ascii="Montserrat"/>
          <w:sz w:val="19"/>
        </w:rPr>
      </w:pPr>
      <w:r>
        <w:rPr>
          <w:rFonts w:ascii="Montserrat"/>
          <w:spacing w:val="-4"/>
          <w:sz w:val="19"/>
        </w:rPr>
        <w:lastRenderedPageBreak/>
        <w:t xml:space="preserve">Communication </w:t>
      </w:r>
      <w:r>
        <w:rPr>
          <w:rFonts w:ascii="Montserrat"/>
          <w:spacing w:val="-3"/>
          <w:sz w:val="19"/>
        </w:rPr>
        <w:t>with</w:t>
      </w:r>
      <w:r>
        <w:rPr>
          <w:rFonts w:ascii="Montserrat"/>
          <w:spacing w:val="-5"/>
          <w:sz w:val="19"/>
        </w:rPr>
        <w:t xml:space="preserve"> </w:t>
      </w:r>
      <w:r>
        <w:rPr>
          <w:rFonts w:ascii="Montserrat"/>
          <w:sz w:val="19"/>
        </w:rPr>
        <w:t>parents</w:t>
      </w:r>
    </w:p>
    <w:p w:rsidR="00F81455" w:rsidRDefault="0026212C">
      <w:pPr>
        <w:pStyle w:val="BodyText"/>
        <w:spacing w:before="52" w:line="220" w:lineRule="auto"/>
        <w:ind w:left="106"/>
      </w:pPr>
      <w:r>
        <w:t>Our school will provide information to parents to help promote a positive school culture where bullying is not acceptable and to increase parent’s understanding of how our school addresses all forms of bullying behaviour.</w:t>
      </w:r>
    </w:p>
    <w:p w:rsidR="00F81455" w:rsidRDefault="00F81455">
      <w:pPr>
        <w:pStyle w:val="BodyText"/>
        <w:spacing w:before="2"/>
        <w:rPr>
          <w:sz w:val="16"/>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6"/>
        <w:gridCol w:w="9487"/>
      </w:tblGrid>
      <w:tr w:rsidR="00F81455">
        <w:trPr>
          <w:trHeight w:val="509"/>
        </w:trPr>
        <w:tc>
          <w:tcPr>
            <w:tcW w:w="1276" w:type="dxa"/>
            <w:tcBorders>
              <w:top w:val="nil"/>
              <w:left w:val="nil"/>
              <w:right w:val="single" w:sz="2" w:space="0" w:color="000000"/>
            </w:tcBorders>
          </w:tcPr>
          <w:p w:rsidR="00F81455" w:rsidRDefault="0026212C">
            <w:pPr>
              <w:pStyle w:val="TableParagraph"/>
              <w:spacing w:before="163"/>
              <w:ind w:left="80"/>
              <w:rPr>
                <w:rFonts w:ascii="Verdana"/>
                <w:sz w:val="18"/>
              </w:rPr>
            </w:pPr>
            <w:r>
              <w:rPr>
                <w:rFonts w:ascii="Verdana"/>
                <w:sz w:val="18"/>
              </w:rPr>
              <w:t>Dates</w:t>
            </w:r>
          </w:p>
        </w:tc>
        <w:tc>
          <w:tcPr>
            <w:tcW w:w="9487" w:type="dxa"/>
            <w:tcBorders>
              <w:top w:val="nil"/>
              <w:left w:val="single" w:sz="2" w:space="0" w:color="000000"/>
              <w:right w:val="nil"/>
            </w:tcBorders>
          </w:tcPr>
          <w:p w:rsidR="00F81455" w:rsidRDefault="0026212C">
            <w:pPr>
              <w:pStyle w:val="TableParagraph"/>
              <w:spacing w:before="163"/>
              <w:ind w:left="77"/>
              <w:rPr>
                <w:rFonts w:ascii="Verdana"/>
                <w:sz w:val="18"/>
              </w:rPr>
            </w:pPr>
            <w:r>
              <w:rPr>
                <w:rFonts w:ascii="Verdana"/>
                <w:w w:val="105"/>
                <w:sz w:val="18"/>
              </w:rPr>
              <w:t>Communication methods and topics</w:t>
            </w:r>
          </w:p>
        </w:tc>
      </w:tr>
      <w:tr w:rsidR="00F81455">
        <w:trPr>
          <w:trHeight w:val="398"/>
        </w:trPr>
        <w:tc>
          <w:tcPr>
            <w:tcW w:w="1276" w:type="dxa"/>
            <w:tcBorders>
              <w:left w:val="nil"/>
              <w:bottom w:val="single" w:sz="2" w:space="0" w:color="000000"/>
              <w:right w:val="single" w:sz="2" w:space="0" w:color="000000"/>
            </w:tcBorders>
          </w:tcPr>
          <w:p w:rsidR="00F81455" w:rsidRDefault="0057410D">
            <w:pPr>
              <w:pStyle w:val="TableParagraph"/>
              <w:rPr>
                <w:rFonts w:ascii="Times New Roman"/>
                <w:sz w:val="18"/>
              </w:rPr>
            </w:pPr>
            <w:r w:rsidRPr="00894F35">
              <w:rPr>
                <w:sz w:val="18"/>
              </w:rPr>
              <w:t>9/3/2020</w:t>
            </w:r>
          </w:p>
        </w:tc>
        <w:tc>
          <w:tcPr>
            <w:tcW w:w="9487" w:type="dxa"/>
            <w:tcBorders>
              <w:left w:val="single" w:sz="2" w:space="0" w:color="000000"/>
              <w:bottom w:val="single" w:sz="2" w:space="0" w:color="000000"/>
              <w:right w:val="nil"/>
            </w:tcBorders>
          </w:tcPr>
          <w:p w:rsidR="00F81455" w:rsidRDefault="0057410D">
            <w:pPr>
              <w:pStyle w:val="TableParagraph"/>
              <w:spacing w:before="50"/>
              <w:ind w:left="112"/>
              <w:rPr>
                <w:sz w:val="18"/>
              </w:rPr>
            </w:pPr>
            <w:r>
              <w:rPr>
                <w:sz w:val="18"/>
              </w:rPr>
              <w:t>Year 7 Parents meet and greet afterno</w:t>
            </w:r>
            <w:r w:rsidR="00894F35">
              <w:rPr>
                <w:sz w:val="18"/>
              </w:rPr>
              <w:t xml:space="preserve">on to discuss how students have settled into a new school setting and to outline </w:t>
            </w:r>
            <w:r w:rsidR="0026212C">
              <w:rPr>
                <w:sz w:val="18"/>
              </w:rPr>
              <w:t>school-based</w:t>
            </w:r>
            <w:r w:rsidR="00894F35">
              <w:rPr>
                <w:sz w:val="18"/>
              </w:rPr>
              <w:t xml:space="preserve"> support strategies available for student wellbeing.</w:t>
            </w:r>
          </w:p>
        </w:tc>
      </w:tr>
      <w:tr w:rsidR="00F81455">
        <w:trPr>
          <w:trHeight w:val="396"/>
        </w:trPr>
        <w:tc>
          <w:tcPr>
            <w:tcW w:w="1276" w:type="dxa"/>
            <w:tcBorders>
              <w:top w:val="single" w:sz="2" w:space="0" w:color="000000"/>
              <w:left w:val="nil"/>
              <w:bottom w:val="single" w:sz="2" w:space="0" w:color="000000"/>
              <w:right w:val="single" w:sz="2" w:space="0" w:color="000000"/>
            </w:tcBorders>
          </w:tcPr>
          <w:p w:rsidR="00F81455" w:rsidRDefault="00894F35">
            <w:pPr>
              <w:pStyle w:val="TableParagraph"/>
              <w:rPr>
                <w:rFonts w:ascii="Times New Roman"/>
                <w:sz w:val="18"/>
              </w:rPr>
            </w:pPr>
            <w:r w:rsidRPr="00894F35">
              <w:rPr>
                <w:sz w:val="18"/>
              </w:rPr>
              <w:t>Term 1</w:t>
            </w:r>
          </w:p>
        </w:tc>
        <w:tc>
          <w:tcPr>
            <w:tcW w:w="9487" w:type="dxa"/>
            <w:tcBorders>
              <w:top w:val="single" w:sz="2" w:space="0" w:color="000000"/>
              <w:left w:val="single" w:sz="2" w:space="0" w:color="000000"/>
              <w:bottom w:val="single" w:sz="2" w:space="0" w:color="000000"/>
              <w:right w:val="nil"/>
            </w:tcBorders>
          </w:tcPr>
          <w:p w:rsidR="00F81455" w:rsidRDefault="0026212C">
            <w:pPr>
              <w:pStyle w:val="TableParagraph"/>
              <w:spacing w:before="37"/>
              <w:ind w:left="112"/>
              <w:rPr>
                <w:sz w:val="18"/>
              </w:rPr>
            </w:pPr>
            <w:r>
              <w:rPr>
                <w:sz w:val="18"/>
              </w:rPr>
              <w:t>School website</w:t>
            </w:r>
            <w:r w:rsidR="00894F35">
              <w:rPr>
                <w:sz w:val="18"/>
              </w:rPr>
              <w:t xml:space="preserve"> and</w:t>
            </w:r>
            <w:r>
              <w:rPr>
                <w:sz w:val="18"/>
              </w:rPr>
              <w:t xml:space="preserve"> school Facebook</w:t>
            </w:r>
            <w:r w:rsidR="00894F35">
              <w:rPr>
                <w:sz w:val="18"/>
              </w:rPr>
              <w:t>–</w:t>
            </w:r>
            <w:r>
              <w:rPr>
                <w:sz w:val="18"/>
              </w:rPr>
              <w:t xml:space="preserve"> </w:t>
            </w:r>
            <w:r w:rsidR="00894F35">
              <w:rPr>
                <w:sz w:val="18"/>
              </w:rPr>
              <w:t>Cyber bullying and how to respond- tips for parents</w:t>
            </w:r>
          </w:p>
        </w:tc>
      </w:tr>
      <w:tr w:rsidR="00F81455">
        <w:trPr>
          <w:trHeight w:val="396"/>
        </w:trPr>
        <w:tc>
          <w:tcPr>
            <w:tcW w:w="1276" w:type="dxa"/>
            <w:tcBorders>
              <w:top w:val="single" w:sz="2" w:space="0" w:color="000000"/>
              <w:left w:val="nil"/>
              <w:bottom w:val="single" w:sz="2" w:space="0" w:color="000000"/>
              <w:right w:val="single" w:sz="2" w:space="0" w:color="000000"/>
            </w:tcBorders>
          </w:tcPr>
          <w:p w:rsidR="00F81455" w:rsidRPr="00894F35" w:rsidRDefault="00894F35">
            <w:pPr>
              <w:pStyle w:val="TableParagraph"/>
              <w:rPr>
                <w:sz w:val="18"/>
              </w:rPr>
            </w:pPr>
            <w:r w:rsidRPr="00894F35">
              <w:rPr>
                <w:sz w:val="18"/>
              </w:rPr>
              <w:t>26/3/2020</w:t>
            </w:r>
          </w:p>
        </w:tc>
        <w:tc>
          <w:tcPr>
            <w:tcW w:w="9487" w:type="dxa"/>
            <w:tcBorders>
              <w:top w:val="single" w:sz="2" w:space="0" w:color="000000"/>
              <w:left w:val="single" w:sz="2" w:space="0" w:color="000000"/>
              <w:bottom w:val="single" w:sz="2" w:space="0" w:color="000000"/>
              <w:right w:val="nil"/>
            </w:tcBorders>
          </w:tcPr>
          <w:p w:rsidR="00F81455" w:rsidRPr="00894F35" w:rsidRDefault="00894F35">
            <w:pPr>
              <w:pStyle w:val="TableParagraph"/>
              <w:rPr>
                <w:sz w:val="18"/>
              </w:rPr>
            </w:pPr>
            <w:r w:rsidRPr="00894F35">
              <w:rPr>
                <w:sz w:val="18"/>
              </w:rPr>
              <w:t>Managing cyber bullying tips from the E-Safety Commissioner mailed to all homes</w:t>
            </w:r>
          </w:p>
        </w:tc>
      </w:tr>
      <w:tr w:rsidR="00F81455">
        <w:trPr>
          <w:trHeight w:val="396"/>
        </w:trPr>
        <w:tc>
          <w:tcPr>
            <w:tcW w:w="1276" w:type="dxa"/>
            <w:tcBorders>
              <w:top w:val="single" w:sz="2" w:space="0" w:color="000000"/>
              <w:left w:val="nil"/>
              <w:bottom w:val="single" w:sz="2" w:space="0" w:color="000000"/>
              <w:right w:val="single" w:sz="2" w:space="0" w:color="000000"/>
            </w:tcBorders>
          </w:tcPr>
          <w:p w:rsidR="00F81455" w:rsidRPr="00894F35" w:rsidRDefault="00894F35">
            <w:pPr>
              <w:pStyle w:val="TableParagraph"/>
              <w:rPr>
                <w:sz w:val="18"/>
              </w:rPr>
            </w:pPr>
            <w:r w:rsidRPr="00894F35">
              <w:rPr>
                <w:sz w:val="18"/>
              </w:rPr>
              <w:t>Term 2</w:t>
            </w:r>
          </w:p>
        </w:tc>
        <w:tc>
          <w:tcPr>
            <w:tcW w:w="9487" w:type="dxa"/>
            <w:tcBorders>
              <w:top w:val="single" w:sz="2" w:space="0" w:color="000000"/>
              <w:left w:val="single" w:sz="2" w:space="0" w:color="000000"/>
              <w:bottom w:val="single" w:sz="2" w:space="0" w:color="000000"/>
              <w:right w:val="nil"/>
            </w:tcBorders>
          </w:tcPr>
          <w:p w:rsidR="00F81455" w:rsidRPr="00894F35" w:rsidRDefault="00894F35">
            <w:pPr>
              <w:pStyle w:val="TableParagraph"/>
              <w:rPr>
                <w:sz w:val="18"/>
              </w:rPr>
            </w:pPr>
            <w:r w:rsidRPr="00894F35">
              <w:rPr>
                <w:sz w:val="18"/>
              </w:rPr>
              <w:t>Updated Anti- Bullying Plan uploaded onto website</w:t>
            </w:r>
          </w:p>
        </w:tc>
      </w:tr>
      <w:tr w:rsidR="00894F35">
        <w:trPr>
          <w:trHeight w:val="396"/>
        </w:trPr>
        <w:tc>
          <w:tcPr>
            <w:tcW w:w="1276" w:type="dxa"/>
            <w:tcBorders>
              <w:top w:val="single" w:sz="2" w:space="0" w:color="000000"/>
              <w:left w:val="nil"/>
              <w:bottom w:val="single" w:sz="2" w:space="0" w:color="000000"/>
              <w:right w:val="single" w:sz="2" w:space="0" w:color="000000"/>
            </w:tcBorders>
          </w:tcPr>
          <w:p w:rsidR="00894F35" w:rsidRPr="00894F35" w:rsidRDefault="00894F35">
            <w:pPr>
              <w:pStyle w:val="TableParagraph"/>
              <w:rPr>
                <w:sz w:val="18"/>
              </w:rPr>
            </w:pPr>
            <w:r>
              <w:rPr>
                <w:sz w:val="18"/>
              </w:rPr>
              <w:t>Ongoing</w:t>
            </w:r>
          </w:p>
        </w:tc>
        <w:tc>
          <w:tcPr>
            <w:tcW w:w="9487" w:type="dxa"/>
            <w:tcBorders>
              <w:top w:val="single" w:sz="2" w:space="0" w:color="000000"/>
              <w:left w:val="single" w:sz="2" w:space="0" w:color="000000"/>
              <w:bottom w:val="single" w:sz="2" w:space="0" w:color="000000"/>
              <w:right w:val="nil"/>
            </w:tcBorders>
          </w:tcPr>
          <w:p w:rsidR="00894F35" w:rsidRPr="00894F35" w:rsidRDefault="00894F35">
            <w:pPr>
              <w:pStyle w:val="TableParagraph"/>
              <w:rPr>
                <w:sz w:val="18"/>
              </w:rPr>
            </w:pPr>
            <w:r>
              <w:rPr>
                <w:sz w:val="18"/>
              </w:rPr>
              <w:t>Student success and Ernie awards for PBL to be celebrated through the Dolphin publication</w:t>
            </w:r>
          </w:p>
        </w:tc>
      </w:tr>
      <w:tr w:rsidR="0026212C">
        <w:trPr>
          <w:trHeight w:val="396"/>
        </w:trPr>
        <w:tc>
          <w:tcPr>
            <w:tcW w:w="1276" w:type="dxa"/>
            <w:tcBorders>
              <w:top w:val="single" w:sz="2" w:space="0" w:color="000000"/>
              <w:left w:val="nil"/>
              <w:bottom w:val="single" w:sz="2" w:space="0" w:color="000000"/>
              <w:right w:val="single" w:sz="2" w:space="0" w:color="000000"/>
            </w:tcBorders>
          </w:tcPr>
          <w:p w:rsidR="0026212C" w:rsidRDefault="0026212C">
            <w:pPr>
              <w:pStyle w:val="TableParagraph"/>
              <w:rPr>
                <w:sz w:val="18"/>
              </w:rPr>
            </w:pPr>
            <w:r>
              <w:rPr>
                <w:sz w:val="18"/>
              </w:rPr>
              <w:t>Term 3</w:t>
            </w:r>
          </w:p>
        </w:tc>
        <w:tc>
          <w:tcPr>
            <w:tcW w:w="9487" w:type="dxa"/>
            <w:tcBorders>
              <w:top w:val="single" w:sz="2" w:space="0" w:color="000000"/>
              <w:left w:val="single" w:sz="2" w:space="0" w:color="000000"/>
              <w:bottom w:val="single" w:sz="2" w:space="0" w:color="000000"/>
              <w:right w:val="nil"/>
            </w:tcBorders>
          </w:tcPr>
          <w:p w:rsidR="0026212C" w:rsidRDefault="0026212C">
            <w:pPr>
              <w:pStyle w:val="TableParagraph"/>
              <w:rPr>
                <w:sz w:val="18"/>
              </w:rPr>
            </w:pPr>
            <w:r>
              <w:rPr>
                <w:sz w:val="18"/>
              </w:rPr>
              <w:t>Parent and Teacher interviews to discuss student progress and wellbeing</w:t>
            </w:r>
          </w:p>
        </w:tc>
      </w:tr>
      <w:tr w:rsidR="0026212C">
        <w:trPr>
          <w:trHeight w:val="396"/>
        </w:trPr>
        <w:tc>
          <w:tcPr>
            <w:tcW w:w="1276" w:type="dxa"/>
            <w:tcBorders>
              <w:top w:val="single" w:sz="2" w:space="0" w:color="000000"/>
              <w:left w:val="nil"/>
              <w:bottom w:val="single" w:sz="2" w:space="0" w:color="000000"/>
              <w:right w:val="single" w:sz="2" w:space="0" w:color="000000"/>
            </w:tcBorders>
          </w:tcPr>
          <w:p w:rsidR="0026212C" w:rsidRDefault="0026212C">
            <w:pPr>
              <w:pStyle w:val="TableParagraph"/>
              <w:rPr>
                <w:sz w:val="18"/>
              </w:rPr>
            </w:pPr>
            <w:r>
              <w:rPr>
                <w:sz w:val="18"/>
              </w:rPr>
              <w:t>TBA</w:t>
            </w:r>
          </w:p>
        </w:tc>
        <w:tc>
          <w:tcPr>
            <w:tcW w:w="9487" w:type="dxa"/>
            <w:tcBorders>
              <w:top w:val="single" w:sz="2" w:space="0" w:color="000000"/>
              <w:left w:val="single" w:sz="2" w:space="0" w:color="000000"/>
              <w:bottom w:val="single" w:sz="2" w:space="0" w:color="000000"/>
              <w:right w:val="nil"/>
            </w:tcBorders>
          </w:tcPr>
          <w:p w:rsidR="0026212C" w:rsidRDefault="0026212C">
            <w:pPr>
              <w:pStyle w:val="TableParagraph"/>
              <w:rPr>
                <w:sz w:val="18"/>
              </w:rPr>
            </w:pPr>
            <w:r>
              <w:rPr>
                <w:sz w:val="18"/>
              </w:rPr>
              <w:t>Presentation to P&amp;C focussing on school action on bullying</w:t>
            </w:r>
          </w:p>
        </w:tc>
      </w:tr>
    </w:tbl>
    <w:p w:rsidR="00F81455" w:rsidRDefault="00F81455">
      <w:pPr>
        <w:pStyle w:val="BodyText"/>
        <w:rPr>
          <w:sz w:val="22"/>
        </w:rPr>
      </w:pPr>
    </w:p>
    <w:p w:rsidR="00F81455" w:rsidRDefault="00F81455">
      <w:pPr>
        <w:pStyle w:val="BodyText"/>
        <w:spacing w:before="7"/>
        <w:rPr>
          <w:sz w:val="20"/>
        </w:rPr>
      </w:pPr>
    </w:p>
    <w:p w:rsidR="00F81455" w:rsidRDefault="0026212C">
      <w:pPr>
        <w:pStyle w:val="ListParagraph"/>
        <w:numPr>
          <w:ilvl w:val="0"/>
          <w:numId w:val="2"/>
        </w:numPr>
        <w:tabs>
          <w:tab w:val="left" w:pos="306"/>
        </w:tabs>
        <w:ind w:left="305" w:hanging="200"/>
        <w:rPr>
          <w:b/>
          <w:sz w:val="19"/>
        </w:rPr>
      </w:pPr>
      <w:r>
        <w:rPr>
          <w:b/>
          <w:sz w:val="19"/>
        </w:rPr>
        <w:t>Support</w:t>
      </w:r>
      <w:r>
        <w:rPr>
          <w:b/>
          <w:spacing w:val="-13"/>
          <w:sz w:val="19"/>
        </w:rPr>
        <w:t xml:space="preserve"> </w:t>
      </w:r>
      <w:r>
        <w:rPr>
          <w:b/>
          <w:sz w:val="19"/>
        </w:rPr>
        <w:t>for</w:t>
      </w:r>
      <w:r>
        <w:rPr>
          <w:b/>
          <w:spacing w:val="-13"/>
          <w:sz w:val="19"/>
        </w:rPr>
        <w:t xml:space="preserve"> </w:t>
      </w:r>
      <w:r>
        <w:rPr>
          <w:b/>
          <w:spacing w:val="-3"/>
          <w:sz w:val="19"/>
        </w:rPr>
        <w:t>wellbeing</w:t>
      </w:r>
      <w:r>
        <w:rPr>
          <w:b/>
          <w:spacing w:val="-12"/>
          <w:sz w:val="19"/>
        </w:rPr>
        <w:t xml:space="preserve"> </w:t>
      </w:r>
      <w:r>
        <w:rPr>
          <w:b/>
          <w:sz w:val="19"/>
        </w:rPr>
        <w:t>and</w:t>
      </w:r>
      <w:r>
        <w:rPr>
          <w:b/>
          <w:spacing w:val="-13"/>
          <w:sz w:val="19"/>
        </w:rPr>
        <w:t xml:space="preserve"> </w:t>
      </w:r>
      <w:r>
        <w:rPr>
          <w:b/>
          <w:sz w:val="19"/>
        </w:rPr>
        <w:t>positive</w:t>
      </w:r>
      <w:r>
        <w:rPr>
          <w:b/>
          <w:spacing w:val="-12"/>
          <w:sz w:val="19"/>
        </w:rPr>
        <w:t xml:space="preserve"> </w:t>
      </w:r>
      <w:r>
        <w:rPr>
          <w:b/>
          <w:sz w:val="19"/>
        </w:rPr>
        <w:t>behaviours</w:t>
      </w:r>
    </w:p>
    <w:p w:rsidR="00F81455" w:rsidRDefault="0026212C">
      <w:pPr>
        <w:pStyle w:val="BodyText"/>
        <w:spacing w:before="52" w:line="220" w:lineRule="auto"/>
        <w:ind w:left="106"/>
      </w:pPr>
      <w:r>
        <w:t>Our school’s practices support student wellbeing and positive behaviour approaches that align with our school community’s needs.</w:t>
      </w:r>
    </w:p>
    <w:p w:rsidR="00F81455" w:rsidRDefault="0026212C">
      <w:pPr>
        <w:pStyle w:val="BodyText"/>
        <w:spacing w:before="140" w:line="220" w:lineRule="auto"/>
        <w:ind w:left="106" w:right="219"/>
      </w:pPr>
      <w:r>
        <w:t>Social and emotional skills related to personal safety, resilience, help-seeking and protective behaviours are explicitly taught across the curriculum in Personal Development, Health and Physical Education (PDHPE).</w:t>
      </w:r>
    </w:p>
    <w:p w:rsidR="00F81455" w:rsidRDefault="0026212C">
      <w:pPr>
        <w:pStyle w:val="BodyText"/>
        <w:spacing w:before="139" w:line="220" w:lineRule="auto"/>
        <w:ind w:left="106" w:right="219"/>
      </w:pPr>
      <w:r>
        <w:t>Examples of other ways our school will embed student wellbeing and positive behaviour approaches and strategies in practices include the following.</w:t>
      </w:r>
    </w:p>
    <w:p w:rsidR="00F81455" w:rsidRDefault="0026212C">
      <w:pPr>
        <w:pStyle w:val="BodyText"/>
        <w:spacing w:before="6"/>
        <w:rPr>
          <w:sz w:val="18"/>
        </w:rPr>
      </w:pPr>
      <w:r>
        <w:rPr>
          <w:noProof/>
        </w:rPr>
        <mc:AlternateContent>
          <mc:Choice Requires="wps">
            <w:drawing>
              <wp:anchor distT="0" distB="0" distL="0" distR="0" simplePos="0" relativeHeight="251665408" behindDoc="1" locked="0" layoutInCell="1" allowOverlap="1">
                <wp:simplePos x="0" y="0"/>
                <wp:positionH relativeFrom="page">
                  <wp:posOffset>330835</wp:posOffset>
                </wp:positionH>
                <wp:positionV relativeFrom="paragraph">
                  <wp:posOffset>180340</wp:posOffset>
                </wp:positionV>
                <wp:extent cx="6803390" cy="2557780"/>
                <wp:effectExtent l="0" t="0" r="0" b="0"/>
                <wp:wrapTopAndBottom/>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3390" cy="2557780"/>
                        </a:xfrm>
                        <a:prstGeom prst="rect">
                          <a:avLst/>
                        </a:prstGeom>
                        <a:solidFill>
                          <a:srgbClr val="EAF6F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7DCA" w:rsidRPr="00A555C6" w:rsidRDefault="00587DCA">
                            <w:pPr>
                              <w:rPr>
                                <w:sz w:val="19"/>
                                <w:szCs w:val="19"/>
                              </w:rPr>
                            </w:pPr>
                            <w:r w:rsidRPr="00A555C6">
                              <w:rPr>
                                <w:sz w:val="19"/>
                                <w:szCs w:val="19"/>
                              </w:rPr>
                              <w:t>Great Lakes College Tuncurry Campus provides students with access to specialised staff for wellbeing support through the provision of a Wellbeing Head Teacher, Boys and Girls Advisors, Year Advisors, Year Group Head Teachers, Aboriginal Education Workers and School Counsellors.</w:t>
                            </w:r>
                          </w:p>
                          <w:p w:rsidR="00A555C6" w:rsidRPr="00A555C6" w:rsidRDefault="00A555C6">
                            <w:pPr>
                              <w:rPr>
                                <w:sz w:val="19"/>
                                <w:szCs w:val="19"/>
                              </w:rPr>
                            </w:pPr>
                          </w:p>
                          <w:p w:rsidR="00587DCA" w:rsidRPr="00A555C6" w:rsidRDefault="00587DCA" w:rsidP="00587DCA">
                            <w:pPr>
                              <w:rPr>
                                <w:sz w:val="19"/>
                                <w:szCs w:val="19"/>
                              </w:rPr>
                            </w:pPr>
                            <w:r w:rsidRPr="00A555C6">
                              <w:rPr>
                                <w:sz w:val="19"/>
                                <w:szCs w:val="19"/>
                              </w:rPr>
                              <w:t>The school implements Positive Behaviour for Learning (PBL). The universal rules for PBL are; Respect, Responsibility and Personal Best. Students are recognised for their positive behaviour through the Ernie rewards system.</w:t>
                            </w:r>
                          </w:p>
                          <w:p w:rsidR="00A555C6" w:rsidRPr="00A555C6" w:rsidRDefault="00A555C6" w:rsidP="00587DCA">
                            <w:pPr>
                              <w:rPr>
                                <w:sz w:val="19"/>
                                <w:szCs w:val="19"/>
                              </w:rPr>
                            </w:pPr>
                          </w:p>
                          <w:p w:rsidR="00587DCA" w:rsidRPr="00A555C6" w:rsidRDefault="002109E2" w:rsidP="00587DCA">
                            <w:pPr>
                              <w:rPr>
                                <w:sz w:val="19"/>
                                <w:szCs w:val="19"/>
                              </w:rPr>
                            </w:pPr>
                            <w:r w:rsidRPr="00A555C6">
                              <w:rPr>
                                <w:sz w:val="19"/>
                                <w:szCs w:val="19"/>
                              </w:rPr>
                              <w:t>Specific days are established for wellbeing education and promotion, these are organised as the “Boys to Men” and “Girls Together” activity days. Year Groups will also have specific excursions and activities developed and implemented by the Year Advisor to promote and support positive behaviour for students.</w:t>
                            </w:r>
                          </w:p>
                          <w:p w:rsidR="00A555C6" w:rsidRPr="00A555C6" w:rsidRDefault="00A555C6" w:rsidP="00587DCA">
                            <w:pPr>
                              <w:rPr>
                                <w:sz w:val="19"/>
                                <w:szCs w:val="19"/>
                              </w:rPr>
                            </w:pPr>
                          </w:p>
                          <w:p w:rsidR="002109E2" w:rsidRPr="00A555C6" w:rsidRDefault="002109E2" w:rsidP="00587DCA">
                            <w:pPr>
                              <w:rPr>
                                <w:sz w:val="19"/>
                                <w:szCs w:val="19"/>
                              </w:rPr>
                            </w:pPr>
                            <w:r w:rsidRPr="00A555C6">
                              <w:rPr>
                                <w:sz w:val="19"/>
                                <w:szCs w:val="19"/>
                              </w:rPr>
                              <w:t xml:space="preserve">Extra- curricular activities to promote positive </w:t>
                            </w:r>
                            <w:r w:rsidR="0057410D" w:rsidRPr="00A555C6">
                              <w:rPr>
                                <w:sz w:val="19"/>
                                <w:szCs w:val="19"/>
                              </w:rPr>
                              <w:t>self-esteem</w:t>
                            </w:r>
                            <w:r w:rsidRPr="00A555C6">
                              <w:rPr>
                                <w:sz w:val="19"/>
                                <w:szCs w:val="19"/>
                              </w:rPr>
                              <w:t xml:space="preserve">, resilience and </w:t>
                            </w:r>
                            <w:r w:rsidR="00A555C6" w:rsidRPr="00A555C6">
                              <w:rPr>
                                <w:sz w:val="19"/>
                                <w:szCs w:val="19"/>
                              </w:rPr>
                              <w:t>respect for others offered by external providers are utilised at Great Lakes College Tuncurry Campus. These activities include Heart to Heart, Link to Learning, Teen Mental Health First Aid training and actions associated with R U Ok day.</w:t>
                            </w:r>
                          </w:p>
                          <w:p w:rsidR="00587DCA" w:rsidRDefault="00587D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margin-left:26.05pt;margin-top:14.2pt;width:535.7pt;height:201.4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" fillcolor="#eaf6fe" stroked="f">
                <v:textbox>
                  <w:txbxContent>
                    <w:p w:rsidR="00587DCA" w:rsidRPr="00A555C6" w:rsidRDefault="00587DCA">
                      <w:pPr>
                        <w:rPr>
                          <w:sz w:val="19"/>
                          <w:szCs w:val="19"/>
                        </w:rPr>
                      </w:pPr>
                      <w:r w:rsidRPr="00A555C6">
                        <w:rPr>
                          <w:sz w:val="19"/>
                          <w:szCs w:val="19"/>
                        </w:rPr>
                        <w:t>Great Lakes College Tuncurry Campus provides students with access to specialised staff for wellbeing support through the provision of a Wellbeing Head Teacher, Boys and Girls Advisors, Year Advisors, Year Group Head Teachers, Aboriginal Education Workers and School Counsellors.</w:t>
                      </w:r>
                    </w:p>
                    <w:p w:rsidR="00A555C6" w:rsidRPr="00A555C6" w:rsidRDefault="00A555C6">
                      <w:pPr>
                        <w:rPr>
                          <w:sz w:val="19"/>
                          <w:szCs w:val="19"/>
                        </w:rPr>
                      </w:pPr>
                    </w:p>
                    <w:p w:rsidR="00587DCA" w:rsidRPr="00A555C6" w:rsidRDefault="00587DCA" w:rsidP="00587DCA">
                      <w:pPr>
                        <w:rPr>
                          <w:sz w:val="19"/>
                          <w:szCs w:val="19"/>
                        </w:rPr>
                      </w:pPr>
                      <w:r w:rsidRPr="00A555C6">
                        <w:rPr>
                          <w:sz w:val="19"/>
                          <w:szCs w:val="19"/>
                        </w:rPr>
                        <w:t>The school implements Positive Behaviour for Learning (PBL). The universal rules for PBL are; Respect, Responsibility and Personal Best. Students are recognised for their positive behaviour through the Ernie rewards system.</w:t>
                      </w:r>
                    </w:p>
                    <w:p w:rsidR="00A555C6" w:rsidRPr="00A555C6" w:rsidRDefault="00A555C6" w:rsidP="00587DCA">
                      <w:pPr>
                        <w:rPr>
                          <w:sz w:val="19"/>
                          <w:szCs w:val="19"/>
                        </w:rPr>
                      </w:pPr>
                    </w:p>
                    <w:p w:rsidR="00587DCA" w:rsidRPr="00A555C6" w:rsidRDefault="002109E2" w:rsidP="00587DCA">
                      <w:pPr>
                        <w:rPr>
                          <w:sz w:val="19"/>
                          <w:szCs w:val="19"/>
                        </w:rPr>
                      </w:pPr>
                      <w:r w:rsidRPr="00A555C6">
                        <w:rPr>
                          <w:sz w:val="19"/>
                          <w:szCs w:val="19"/>
                        </w:rPr>
                        <w:t>Specific days are established for wellbeing education and promotion, these are organised as the “Boys to Men” and “Girls Together” activity days. Year Groups will also have specific excursions and activities developed and implemented by the Year Advisor to promote and support positive behaviour for students.</w:t>
                      </w:r>
                    </w:p>
                    <w:p w:rsidR="00A555C6" w:rsidRPr="00A555C6" w:rsidRDefault="00A555C6" w:rsidP="00587DCA">
                      <w:pPr>
                        <w:rPr>
                          <w:sz w:val="19"/>
                          <w:szCs w:val="19"/>
                        </w:rPr>
                      </w:pPr>
                    </w:p>
                    <w:p w:rsidR="002109E2" w:rsidRPr="00A555C6" w:rsidRDefault="002109E2" w:rsidP="00587DCA">
                      <w:pPr>
                        <w:rPr>
                          <w:sz w:val="19"/>
                          <w:szCs w:val="19"/>
                        </w:rPr>
                      </w:pPr>
                      <w:r w:rsidRPr="00A555C6">
                        <w:rPr>
                          <w:sz w:val="19"/>
                          <w:szCs w:val="19"/>
                        </w:rPr>
                        <w:t xml:space="preserve">Extra- curricular activities to promote positive </w:t>
                      </w:r>
                      <w:r w:rsidR="0057410D" w:rsidRPr="00A555C6">
                        <w:rPr>
                          <w:sz w:val="19"/>
                          <w:szCs w:val="19"/>
                        </w:rPr>
                        <w:t>self-esteem</w:t>
                      </w:r>
                      <w:r w:rsidRPr="00A555C6">
                        <w:rPr>
                          <w:sz w:val="19"/>
                          <w:szCs w:val="19"/>
                        </w:rPr>
                        <w:t xml:space="preserve">, resilience and </w:t>
                      </w:r>
                      <w:r w:rsidR="00A555C6" w:rsidRPr="00A555C6">
                        <w:rPr>
                          <w:sz w:val="19"/>
                          <w:szCs w:val="19"/>
                        </w:rPr>
                        <w:t>respect for others offered by external providers are utilised at Great Lakes College Tuncurry Campus. These activities include Heart to Heart, Link to Learning, Teen Mental Health First Aid training and actions associated with R U Ok day.</w:t>
                      </w:r>
                    </w:p>
                    <w:p w:rsidR="00587DCA" w:rsidRDefault="00587DCA"/>
                  </w:txbxContent>
                </v:textbox>
                <w10:wrap type="topAndBottom" anchorx="page"/>
              </v:rect>
            </w:pict>
          </mc:Fallback>
        </mc:AlternateContent>
      </w:r>
    </w:p>
    <w:p w:rsidR="00F81455" w:rsidRDefault="00F81455">
      <w:pPr>
        <w:pStyle w:val="BodyText"/>
        <w:rPr>
          <w:sz w:val="22"/>
        </w:rPr>
      </w:pPr>
    </w:p>
    <w:p w:rsidR="00F81455" w:rsidRDefault="00F81455">
      <w:pPr>
        <w:pStyle w:val="BodyText"/>
        <w:rPr>
          <w:sz w:val="22"/>
        </w:rPr>
      </w:pPr>
    </w:p>
    <w:p w:rsidR="00F81455" w:rsidRDefault="00F81455">
      <w:pPr>
        <w:pStyle w:val="BodyText"/>
        <w:spacing w:before="9"/>
        <w:rPr>
          <w:sz w:val="21"/>
        </w:rPr>
      </w:pPr>
    </w:p>
    <w:p w:rsidR="00A555C6" w:rsidRDefault="00A555C6">
      <w:pPr>
        <w:pStyle w:val="BodyText"/>
        <w:tabs>
          <w:tab w:val="left" w:pos="1637"/>
          <w:tab w:val="left" w:pos="8213"/>
          <w:tab w:val="left" w:pos="10864"/>
        </w:tabs>
        <w:spacing w:line="698" w:lineRule="auto"/>
        <w:ind w:left="106" w:right="114"/>
        <w:jc w:val="both"/>
      </w:pPr>
    </w:p>
    <w:p w:rsidR="00A555C6" w:rsidRDefault="00A555C6">
      <w:pPr>
        <w:pStyle w:val="BodyText"/>
        <w:tabs>
          <w:tab w:val="left" w:pos="1637"/>
          <w:tab w:val="left" w:pos="8213"/>
          <w:tab w:val="left" w:pos="10864"/>
        </w:tabs>
        <w:spacing w:line="698" w:lineRule="auto"/>
        <w:ind w:left="106" w:right="114"/>
        <w:jc w:val="both"/>
      </w:pPr>
    </w:p>
    <w:p w:rsidR="00F81455" w:rsidRDefault="0026212C">
      <w:pPr>
        <w:pStyle w:val="BodyText"/>
        <w:tabs>
          <w:tab w:val="left" w:pos="1637"/>
          <w:tab w:val="left" w:pos="8213"/>
          <w:tab w:val="left" w:pos="10864"/>
        </w:tabs>
        <w:spacing w:line="698" w:lineRule="auto"/>
        <w:ind w:left="106" w:right="114"/>
        <w:jc w:val="both"/>
      </w:pPr>
      <w:r>
        <w:t>Principal</w:t>
      </w:r>
      <w:r>
        <w:rPr>
          <w:spacing w:val="-12"/>
        </w:rPr>
        <w:t xml:space="preserve"> </w:t>
      </w:r>
      <w:r>
        <w:t>name:</w:t>
      </w:r>
      <w:r>
        <w:rPr>
          <w:spacing w:val="15"/>
        </w:rPr>
        <w:t xml:space="preserve"> </w:t>
      </w:r>
      <w:r>
        <w:rPr>
          <w:w w:val="107"/>
          <w:u w:val="single"/>
        </w:rPr>
        <w:t xml:space="preserve"> Sally Chad</w:t>
      </w:r>
      <w:r>
        <w:rPr>
          <w:u w:val="single"/>
        </w:rPr>
        <w:tab/>
      </w:r>
      <w:r>
        <w:rPr>
          <w:u w:val="single"/>
        </w:rPr>
        <w:tab/>
      </w:r>
      <w:r>
        <w:t xml:space="preserve"> Signature:</w:t>
      </w:r>
      <w:r>
        <w:tab/>
      </w:r>
      <w:r>
        <w:rPr>
          <w:u w:val="single"/>
        </w:rPr>
        <w:t xml:space="preserve"> </w:t>
      </w:r>
      <w:r w:rsidR="0017290F">
        <w:rPr>
          <w:rFonts w:ascii="Bradley Hand ITC" w:hAnsi="Bradley Hand ITC"/>
          <w:i/>
          <w:u w:val="single"/>
        </w:rPr>
        <w:t>Sally Chad</w:t>
      </w:r>
      <w:r>
        <w:rPr>
          <w:u w:val="single"/>
        </w:rPr>
        <w:tab/>
      </w:r>
      <w:r>
        <w:t xml:space="preserve">Date: </w:t>
      </w:r>
      <w:r>
        <w:rPr>
          <w:spacing w:val="-18"/>
        </w:rPr>
        <w:t xml:space="preserve"> </w:t>
      </w:r>
      <w:r>
        <w:rPr>
          <w:w w:val="107"/>
          <w:u w:val="single"/>
        </w:rPr>
        <w:t xml:space="preserve"> </w:t>
      </w:r>
      <w:r w:rsidR="0017290F">
        <w:rPr>
          <w:w w:val="107"/>
          <w:u w:val="single"/>
        </w:rPr>
        <w:t>2020</w:t>
      </w:r>
      <w:r>
        <w:rPr>
          <w:u w:val="single"/>
        </w:rPr>
        <w:tab/>
      </w:r>
    </w:p>
    <w:sectPr w:rsidR="00F81455">
      <w:pgSz w:w="11910" w:h="16840"/>
      <w:pgMar w:top="460" w:right="460" w:bottom="840" w:left="460" w:header="0" w:footer="6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1C67" w:rsidRDefault="004B1C67">
      <w:r>
        <w:separator/>
      </w:r>
    </w:p>
  </w:endnote>
  <w:endnote w:type="continuationSeparator" w:id="0">
    <w:p w:rsidR="004B1C67" w:rsidRDefault="004B1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tserrat Light">
    <w:altName w:val="Calibri"/>
    <w:charset w:val="00"/>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Montserrat SemiBold">
    <w:altName w:val="Calibri"/>
    <w:charset w:val="00"/>
    <w:family w:val="auto"/>
    <w:pitch w:val="variable"/>
    <w:sig w:usb0="2000020F" w:usb1="00000003" w:usb2="00000000" w:usb3="00000000" w:csb0="00000197" w:csb1="00000000"/>
  </w:font>
  <w:font w:name="Montserrat">
    <w:altName w:val="Calibri"/>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ontserrat ExtraLight">
    <w:altName w:val="Calibri"/>
    <w:charset w:val="00"/>
    <w:family w:val="auto"/>
    <w:pitch w:val="variable"/>
    <w:sig w:usb0="2000020F" w:usb1="00000003" w:usb2="00000000" w:usb3="00000000" w:csb0="00000197"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455" w:rsidRDefault="0026212C">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353695</wp:posOffset>
              </wp:positionH>
              <wp:positionV relativeFrom="page">
                <wp:posOffset>10134600</wp:posOffset>
              </wp:positionV>
              <wp:extent cx="1968500" cy="242570"/>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0"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455" w:rsidRDefault="004B1C67">
                          <w:pPr>
                            <w:spacing w:line="367" w:lineRule="exact"/>
                            <w:ind w:left="20"/>
                            <w:rPr>
                              <w:rFonts w:ascii="Montserrat SemiBold"/>
                              <w:b/>
                              <w:sz w:val="28"/>
                            </w:rPr>
                          </w:pPr>
                          <w:hyperlink r:id="rId1">
                            <w:r w:rsidR="0026212C">
                              <w:rPr>
                                <w:rFonts w:ascii="Montserrat SemiBold"/>
                                <w:b/>
                                <w:w w:val="95"/>
                                <w:sz w:val="28"/>
                              </w:rPr>
                              <w:t>education.nsw.gov.au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27.85pt;margin-top:798pt;width:155pt;height:19.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" filled="f" stroked="f">
              <v:textbox inset="0,0,0,0">
                <w:txbxContent>
                  <w:p w:rsidR="00F81455" w:rsidRDefault="0017290F">
                    <w:pPr>
                      <w:spacing w:line="367" w:lineRule="exact"/>
                      <w:ind w:left="20"/>
                      <w:rPr>
                        <w:rFonts w:ascii="Montserrat SemiBold"/>
                        <w:b/>
                        <w:sz w:val="28"/>
                      </w:rPr>
                    </w:pPr>
                    <w:hyperlink r:id="rId2">
                      <w:r w:rsidR="0026212C">
                        <w:rPr>
                          <w:rFonts w:ascii="Montserrat SemiBold"/>
                          <w:b/>
                          <w:w w:val="95"/>
                          <w:sz w:val="28"/>
                        </w:rPr>
                        <w:t>education.nsw.gov.au</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1C67" w:rsidRDefault="004B1C67">
      <w:r>
        <w:separator/>
      </w:r>
    </w:p>
  </w:footnote>
  <w:footnote w:type="continuationSeparator" w:id="0">
    <w:p w:rsidR="004B1C67" w:rsidRDefault="004B1C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D51A7E"/>
    <w:multiLevelType w:val="hybridMultilevel"/>
    <w:tmpl w:val="2A069DE2"/>
    <w:lvl w:ilvl="0" w:tplc="8E7E1FE8">
      <w:numFmt w:val="bullet"/>
      <w:lvlText w:val="–"/>
      <w:lvlJc w:val="left"/>
      <w:pPr>
        <w:ind w:left="392" w:hanging="122"/>
      </w:pPr>
      <w:rPr>
        <w:rFonts w:ascii="Montserrat Light" w:eastAsia="Montserrat Light" w:hAnsi="Montserrat Light" w:cs="Montserrat Light" w:hint="default"/>
        <w:w w:val="80"/>
        <w:sz w:val="18"/>
        <w:szCs w:val="18"/>
        <w:lang w:val="en-GB" w:eastAsia="en-GB" w:bidi="en-GB"/>
      </w:rPr>
    </w:lvl>
    <w:lvl w:ilvl="1" w:tplc="78085A72">
      <w:numFmt w:val="bullet"/>
      <w:lvlText w:val="•"/>
      <w:lvlJc w:val="left"/>
      <w:pPr>
        <w:ind w:left="1436" w:hanging="122"/>
      </w:pPr>
      <w:rPr>
        <w:rFonts w:hint="default"/>
        <w:lang w:val="en-GB" w:eastAsia="en-GB" w:bidi="en-GB"/>
      </w:rPr>
    </w:lvl>
    <w:lvl w:ilvl="2" w:tplc="319C89DE">
      <w:numFmt w:val="bullet"/>
      <w:lvlText w:val="•"/>
      <w:lvlJc w:val="left"/>
      <w:pPr>
        <w:ind w:left="2472" w:hanging="122"/>
      </w:pPr>
      <w:rPr>
        <w:rFonts w:hint="default"/>
        <w:lang w:val="en-GB" w:eastAsia="en-GB" w:bidi="en-GB"/>
      </w:rPr>
    </w:lvl>
    <w:lvl w:ilvl="3" w:tplc="7500DA86">
      <w:numFmt w:val="bullet"/>
      <w:lvlText w:val="•"/>
      <w:lvlJc w:val="left"/>
      <w:pPr>
        <w:ind w:left="3508" w:hanging="122"/>
      </w:pPr>
      <w:rPr>
        <w:rFonts w:hint="default"/>
        <w:lang w:val="en-GB" w:eastAsia="en-GB" w:bidi="en-GB"/>
      </w:rPr>
    </w:lvl>
    <w:lvl w:ilvl="4" w:tplc="CDDCEA3C">
      <w:numFmt w:val="bullet"/>
      <w:lvlText w:val="•"/>
      <w:lvlJc w:val="left"/>
      <w:pPr>
        <w:ind w:left="4544" w:hanging="122"/>
      </w:pPr>
      <w:rPr>
        <w:rFonts w:hint="default"/>
        <w:lang w:val="en-GB" w:eastAsia="en-GB" w:bidi="en-GB"/>
      </w:rPr>
    </w:lvl>
    <w:lvl w:ilvl="5" w:tplc="8A02169A">
      <w:numFmt w:val="bullet"/>
      <w:lvlText w:val="•"/>
      <w:lvlJc w:val="left"/>
      <w:pPr>
        <w:ind w:left="5580" w:hanging="122"/>
      </w:pPr>
      <w:rPr>
        <w:rFonts w:hint="default"/>
        <w:lang w:val="en-GB" w:eastAsia="en-GB" w:bidi="en-GB"/>
      </w:rPr>
    </w:lvl>
    <w:lvl w:ilvl="6" w:tplc="50C0452C">
      <w:numFmt w:val="bullet"/>
      <w:lvlText w:val="•"/>
      <w:lvlJc w:val="left"/>
      <w:pPr>
        <w:ind w:left="6617" w:hanging="122"/>
      </w:pPr>
      <w:rPr>
        <w:rFonts w:hint="default"/>
        <w:lang w:val="en-GB" w:eastAsia="en-GB" w:bidi="en-GB"/>
      </w:rPr>
    </w:lvl>
    <w:lvl w:ilvl="7" w:tplc="3A58AC68">
      <w:numFmt w:val="bullet"/>
      <w:lvlText w:val="•"/>
      <w:lvlJc w:val="left"/>
      <w:pPr>
        <w:ind w:left="7653" w:hanging="122"/>
      </w:pPr>
      <w:rPr>
        <w:rFonts w:hint="default"/>
        <w:lang w:val="en-GB" w:eastAsia="en-GB" w:bidi="en-GB"/>
      </w:rPr>
    </w:lvl>
    <w:lvl w:ilvl="8" w:tplc="B7D281C6">
      <w:numFmt w:val="bullet"/>
      <w:lvlText w:val="•"/>
      <w:lvlJc w:val="left"/>
      <w:pPr>
        <w:ind w:left="8689" w:hanging="122"/>
      </w:pPr>
      <w:rPr>
        <w:rFonts w:hint="default"/>
        <w:lang w:val="en-GB" w:eastAsia="en-GB" w:bidi="en-GB"/>
      </w:rPr>
    </w:lvl>
  </w:abstractNum>
  <w:abstractNum w:abstractNumId="1" w15:restartNumberingAfterBreak="0">
    <w:nsid w:val="79EE73A3"/>
    <w:multiLevelType w:val="multilevel"/>
    <w:tmpl w:val="AD7C111C"/>
    <w:lvl w:ilvl="0">
      <w:start w:val="1"/>
      <w:numFmt w:val="decimal"/>
      <w:lvlText w:val="%1."/>
      <w:lvlJc w:val="left"/>
      <w:pPr>
        <w:ind w:left="313" w:hanging="202"/>
        <w:jc w:val="left"/>
      </w:pPr>
      <w:rPr>
        <w:rFonts w:ascii="Montserrat SemiBold" w:eastAsia="Montserrat SemiBold" w:hAnsi="Montserrat SemiBold" w:cs="Montserrat SemiBold" w:hint="default"/>
        <w:spacing w:val="-1"/>
        <w:w w:val="96"/>
        <w:sz w:val="19"/>
        <w:szCs w:val="19"/>
        <w:lang w:val="en-GB" w:eastAsia="en-GB" w:bidi="en-GB"/>
      </w:rPr>
    </w:lvl>
    <w:lvl w:ilvl="1">
      <w:start w:val="1"/>
      <w:numFmt w:val="decimal"/>
      <w:lvlText w:val="%1.%2."/>
      <w:lvlJc w:val="left"/>
      <w:pPr>
        <w:ind w:left="369" w:hanging="259"/>
        <w:jc w:val="left"/>
      </w:pPr>
      <w:rPr>
        <w:rFonts w:ascii="Montserrat" w:eastAsia="Montserrat" w:hAnsi="Montserrat" w:cs="Montserrat" w:hint="default"/>
        <w:spacing w:val="-6"/>
        <w:w w:val="97"/>
        <w:sz w:val="19"/>
        <w:szCs w:val="19"/>
        <w:lang w:val="en-GB" w:eastAsia="en-GB" w:bidi="en-GB"/>
      </w:rPr>
    </w:lvl>
    <w:lvl w:ilvl="2">
      <w:numFmt w:val="bullet"/>
      <w:lvlText w:val="•"/>
      <w:lvlJc w:val="left"/>
      <w:pPr>
        <w:ind w:left="420" w:hanging="259"/>
      </w:pPr>
      <w:rPr>
        <w:rFonts w:hint="default"/>
        <w:lang w:val="en-GB" w:eastAsia="en-GB" w:bidi="en-GB"/>
      </w:rPr>
    </w:lvl>
    <w:lvl w:ilvl="3">
      <w:numFmt w:val="bullet"/>
      <w:lvlText w:val="•"/>
      <w:lvlJc w:val="left"/>
      <w:pPr>
        <w:ind w:left="1740" w:hanging="259"/>
      </w:pPr>
      <w:rPr>
        <w:rFonts w:hint="default"/>
        <w:lang w:val="en-GB" w:eastAsia="en-GB" w:bidi="en-GB"/>
      </w:rPr>
    </w:lvl>
    <w:lvl w:ilvl="4">
      <w:numFmt w:val="bullet"/>
      <w:lvlText w:val="•"/>
      <w:lvlJc w:val="left"/>
      <w:pPr>
        <w:ind w:left="3061" w:hanging="259"/>
      </w:pPr>
      <w:rPr>
        <w:rFonts w:hint="default"/>
        <w:lang w:val="en-GB" w:eastAsia="en-GB" w:bidi="en-GB"/>
      </w:rPr>
    </w:lvl>
    <w:lvl w:ilvl="5">
      <w:numFmt w:val="bullet"/>
      <w:lvlText w:val="•"/>
      <w:lvlJc w:val="left"/>
      <w:pPr>
        <w:ind w:left="4382" w:hanging="259"/>
      </w:pPr>
      <w:rPr>
        <w:rFonts w:hint="default"/>
        <w:lang w:val="en-GB" w:eastAsia="en-GB" w:bidi="en-GB"/>
      </w:rPr>
    </w:lvl>
    <w:lvl w:ilvl="6">
      <w:numFmt w:val="bullet"/>
      <w:lvlText w:val="•"/>
      <w:lvlJc w:val="left"/>
      <w:pPr>
        <w:ind w:left="5702" w:hanging="259"/>
      </w:pPr>
      <w:rPr>
        <w:rFonts w:hint="default"/>
        <w:lang w:val="en-GB" w:eastAsia="en-GB" w:bidi="en-GB"/>
      </w:rPr>
    </w:lvl>
    <w:lvl w:ilvl="7">
      <w:numFmt w:val="bullet"/>
      <w:lvlText w:val="•"/>
      <w:lvlJc w:val="left"/>
      <w:pPr>
        <w:ind w:left="7023" w:hanging="259"/>
      </w:pPr>
      <w:rPr>
        <w:rFonts w:hint="default"/>
        <w:lang w:val="en-GB" w:eastAsia="en-GB" w:bidi="en-GB"/>
      </w:rPr>
    </w:lvl>
    <w:lvl w:ilvl="8">
      <w:numFmt w:val="bullet"/>
      <w:lvlText w:val="•"/>
      <w:lvlJc w:val="left"/>
      <w:pPr>
        <w:ind w:left="8344" w:hanging="259"/>
      </w:pPr>
      <w:rPr>
        <w:rFonts w:hint="default"/>
        <w:lang w:val="en-GB" w:eastAsia="en-GB" w:bidi="en-G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455"/>
    <w:rsid w:val="000E15DE"/>
    <w:rsid w:val="0017290F"/>
    <w:rsid w:val="002109E2"/>
    <w:rsid w:val="0026212C"/>
    <w:rsid w:val="002E07B8"/>
    <w:rsid w:val="003E29FD"/>
    <w:rsid w:val="004B1C67"/>
    <w:rsid w:val="00551CC5"/>
    <w:rsid w:val="0057410D"/>
    <w:rsid w:val="00587DCA"/>
    <w:rsid w:val="00894F35"/>
    <w:rsid w:val="0097272A"/>
    <w:rsid w:val="00A555C6"/>
    <w:rsid w:val="00E013C0"/>
    <w:rsid w:val="00F814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5ADFE1"/>
  <w15:docId w15:val="{453D8435-4F13-41AE-8888-C5A292463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Montserrat Light" w:eastAsia="Montserrat Light" w:hAnsi="Montserrat Light" w:cs="Montserrat Light"/>
      <w:lang w:val="en-GB" w:eastAsia="en-GB" w:bidi="en-GB"/>
    </w:rPr>
  </w:style>
  <w:style w:type="paragraph" w:styleId="Heading1">
    <w:name w:val="heading 1"/>
    <w:basedOn w:val="Normal"/>
    <w:uiPriority w:val="9"/>
    <w:qFormat/>
    <w:pPr>
      <w:ind w:left="20"/>
      <w:outlineLvl w:val="0"/>
    </w:pPr>
    <w:rPr>
      <w:rFonts w:ascii="Montserrat SemiBold" w:eastAsia="Montserrat SemiBold" w:hAnsi="Montserrat SemiBold" w:cs="Montserrat SemiBol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305" w:hanging="356"/>
    </w:pPr>
    <w:rPr>
      <w:rFonts w:ascii="Montserrat SemiBold" w:eastAsia="Montserrat SemiBold" w:hAnsi="Montserrat SemiBold" w:cs="Montserrat SemiBold"/>
    </w:r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E29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9FD"/>
    <w:rPr>
      <w:rFonts w:ascii="Segoe UI" w:eastAsia="Montserrat Light"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antibullying.nsw.gov.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sv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ducation.nsw.gov.au/student-wellbeing/attendance-behaviour-and-engagement/student-behaviour/behaviour-co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education.nsw.gov.au/" TargetMode="External"/><Relationship Id="rId1" Type="http://schemas.openxmlformats.org/officeDocument/2006/relationships/hyperlink" Target="http://www.education.ns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950</Words>
  <Characters>5418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Anti-bullying plan template</vt:lpstr>
    </vt:vector>
  </TitlesOfParts>
  <Company>NSW Department of Education</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Anti-bullying plan template</dc:title>
  <dc:subject>Bullying of Students – Prevention and Response Policy</dc:subject>
  <dc:creator>DoE</dc:creator>
  <cp:keywords>Anti-bullying, plan, template, policy</cp:keywords>
  <cp:lastModifiedBy>Teena Jobson</cp:lastModifiedBy>
  <cp:revision>2</cp:revision>
  <dcterms:created xsi:type="dcterms:W3CDTF">2020-05-20T02:34:00Z</dcterms:created>
  <dcterms:modified xsi:type="dcterms:W3CDTF">2020-05-20T02:34:00Z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2018-06-01T00:00:00Z</vt:filetime>
  </property>
  <property fmtid="{D5CDD505-2E9C-101B-9397-08002B2CF9AE}" pid="3" name="Creator">
    <vt:lpwstr>Adobe InDesign CC 2017 (Macintosh)</vt:lpwstr>
  </property>
  <property fmtid="{D5CDD505-2E9C-101B-9397-08002B2CF9AE}" pid="4" name="LastSaved">
    <vt:filetime>2020-04-20T00:00:00Z</vt:filetime>
  </property>
</Properties>
</file>